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9436A1" w:rsidP="009436A1" w14:paraId="21287316" w14:textId="3A06B088">
      <w:pPr>
        <w:spacing w:line="264" w:lineRule="exact"/>
        <w:ind w:left="720" w:right="720"/>
        <w:jc w:val="both"/>
        <w:textAlignment w:val="baseline"/>
        <w:rPr>
          <w:rFonts w:eastAsia="Times New Roman"/>
          <w:b/>
          <w:color w:val="000000"/>
          <w:sz w:val="24"/>
          <w:szCs w:val="24"/>
        </w:rPr>
      </w:pPr>
      <w:r w:rsidRPr="009436A1">
        <w:rPr>
          <w:rFonts w:eastAsia="Times New Roman"/>
          <w:b/>
          <w:color w:val="000000"/>
          <w:sz w:val="24"/>
          <w:szCs w:val="24"/>
        </w:rPr>
        <w:t xml:space="preserve">RESOLUTION OF THE BOARD OF COMMISSIONERS OF THE JERSEY CITY REDEVELOPMENT AGENCY </w:t>
      </w:r>
      <w:r w:rsidR="005A377F">
        <w:rPr>
          <w:rFonts w:eastAsia="Times New Roman"/>
          <w:b/>
          <w:color w:val="000000"/>
          <w:sz w:val="24"/>
          <w:szCs w:val="24"/>
        </w:rPr>
        <w:t>AUTHORIZING THE EXECUTION OF A REDEVELOPMENT AGREEMENT WITH</w:t>
      </w:r>
      <w:r w:rsidRPr="009436A1">
        <w:rPr>
          <w:rFonts w:eastAsia="Times New Roman"/>
          <w:b/>
          <w:color w:val="000000"/>
          <w:sz w:val="24"/>
          <w:szCs w:val="24"/>
        </w:rPr>
        <w:t xml:space="preserve"> </w:t>
      </w:r>
      <w:r w:rsidRPr="009436A1">
        <w:rPr>
          <w:b/>
          <w:sz w:val="24"/>
          <w:szCs w:val="24"/>
        </w:rPr>
        <w:t xml:space="preserve">808 PAVONIA </w:t>
      </w:r>
      <w:r w:rsidR="00502073">
        <w:rPr>
          <w:b/>
          <w:sz w:val="24"/>
          <w:szCs w:val="24"/>
        </w:rPr>
        <w:t xml:space="preserve">PHASE I OWNER, </w:t>
      </w:r>
      <w:r w:rsidRPr="009436A1">
        <w:rPr>
          <w:rFonts w:eastAsia="Times New Roman"/>
          <w:b/>
          <w:color w:val="000000"/>
          <w:sz w:val="24"/>
          <w:szCs w:val="24"/>
        </w:rPr>
        <w:t xml:space="preserve">LLC </w:t>
      </w:r>
      <w:r w:rsidR="00200395">
        <w:rPr>
          <w:rFonts w:eastAsia="Times New Roman"/>
          <w:b/>
          <w:color w:val="000000"/>
          <w:sz w:val="24"/>
          <w:szCs w:val="24"/>
        </w:rPr>
        <w:t xml:space="preserve">AND </w:t>
      </w:r>
      <w:r w:rsidR="00F432DA">
        <w:rPr>
          <w:rFonts w:eastAsia="Times New Roman"/>
          <w:b/>
          <w:color w:val="000000"/>
          <w:sz w:val="24"/>
          <w:szCs w:val="24"/>
        </w:rPr>
        <w:t xml:space="preserve">808 PAVONIA PHASE II OWNER, LLC </w:t>
      </w:r>
      <w:r w:rsidR="005A377F">
        <w:rPr>
          <w:rFonts w:eastAsia="Times New Roman"/>
          <w:b/>
          <w:color w:val="000000"/>
          <w:sz w:val="24"/>
          <w:szCs w:val="24"/>
        </w:rPr>
        <w:t>FOR</w:t>
      </w:r>
      <w:r w:rsidRPr="009436A1">
        <w:rPr>
          <w:rFonts w:eastAsia="Times New Roman"/>
          <w:b/>
          <w:color w:val="000000"/>
          <w:sz w:val="24"/>
          <w:szCs w:val="24"/>
        </w:rPr>
        <w:t xml:space="preserve"> PROPERTY </w:t>
      </w:r>
      <w:r w:rsidRPr="009436A1">
        <w:rPr>
          <w:b/>
          <w:sz w:val="24"/>
          <w:szCs w:val="24"/>
        </w:rPr>
        <w:t>IDENTIFIED ON THE OFFICIAL TAX MAPS OF THE CITY OF JERSEY CITY AS BLOCK 10601</w:t>
      </w:r>
      <w:r w:rsidR="005A377F">
        <w:rPr>
          <w:b/>
          <w:sz w:val="24"/>
          <w:szCs w:val="24"/>
        </w:rPr>
        <w:t xml:space="preserve">, </w:t>
      </w:r>
      <w:r w:rsidRPr="009436A1" w:rsidR="005A377F">
        <w:rPr>
          <w:b/>
          <w:sz w:val="24"/>
          <w:szCs w:val="24"/>
        </w:rPr>
        <w:t xml:space="preserve">LOTS 38 AND 39 </w:t>
      </w:r>
      <w:r w:rsidRPr="009436A1">
        <w:rPr>
          <w:b/>
          <w:sz w:val="24"/>
          <w:szCs w:val="24"/>
        </w:rPr>
        <w:t>AND BLOCK 9404</w:t>
      </w:r>
      <w:r w:rsidR="005A377F">
        <w:rPr>
          <w:b/>
          <w:sz w:val="24"/>
          <w:szCs w:val="24"/>
        </w:rPr>
        <w:t xml:space="preserve">, </w:t>
      </w:r>
      <w:r w:rsidRPr="009436A1" w:rsidR="005A377F">
        <w:rPr>
          <w:b/>
          <w:sz w:val="24"/>
          <w:szCs w:val="24"/>
        </w:rPr>
        <w:t>LOTS 34, 35, AND 41</w:t>
      </w:r>
      <w:r w:rsidR="005A377F">
        <w:rPr>
          <w:b/>
          <w:sz w:val="24"/>
          <w:szCs w:val="24"/>
        </w:rPr>
        <w:t>,</w:t>
      </w:r>
      <w:r w:rsidRPr="009436A1">
        <w:rPr>
          <w:b/>
          <w:sz w:val="24"/>
          <w:szCs w:val="24"/>
        </w:rPr>
        <w:t xml:space="preserve"> </w:t>
      </w:r>
      <w:r w:rsidRPr="009436A1" w:rsidR="00F432DA">
        <w:rPr>
          <w:b/>
          <w:sz w:val="24"/>
          <w:szCs w:val="24"/>
        </w:rPr>
        <w:t xml:space="preserve">COMMONLY KNOWN AS </w:t>
      </w:r>
      <w:r w:rsidRPr="00B92DFA" w:rsidR="00F432DA">
        <w:rPr>
          <w:b/>
          <w:sz w:val="24"/>
          <w:szCs w:val="24"/>
        </w:rPr>
        <w:t>813 PAVONIA AVENUE, 270 MAGNOLIA AVENUE, 808 PAVONIA AVENUE, 132-140 VAN REIPEN AVENUE, AND 12 BRYAN PLACE</w:t>
      </w:r>
      <w:r w:rsidRPr="00B92DFA" w:rsidR="00B92DFA">
        <w:rPr>
          <w:b/>
          <w:sz w:val="24"/>
          <w:szCs w:val="24"/>
        </w:rPr>
        <w:t xml:space="preserve">, </w:t>
      </w:r>
      <w:r w:rsidR="00B92DFA">
        <w:rPr>
          <w:b/>
          <w:sz w:val="24"/>
          <w:szCs w:val="24"/>
        </w:rPr>
        <w:t>WITH</w:t>
      </w:r>
      <w:r w:rsidRPr="009436A1">
        <w:rPr>
          <w:b/>
          <w:sz w:val="24"/>
          <w:szCs w:val="24"/>
        </w:rPr>
        <w:t>IN THE</w:t>
      </w:r>
      <w:r w:rsidRPr="009436A1">
        <w:rPr>
          <w:sz w:val="24"/>
          <w:szCs w:val="24"/>
        </w:rPr>
        <w:t xml:space="preserve"> </w:t>
      </w:r>
      <w:r w:rsidRPr="009436A1">
        <w:rPr>
          <w:b/>
          <w:sz w:val="24"/>
          <w:szCs w:val="24"/>
        </w:rPr>
        <w:t>JOURNAL SQUARE 2060</w:t>
      </w:r>
      <w:r w:rsidRPr="009436A1">
        <w:rPr>
          <w:sz w:val="24"/>
          <w:szCs w:val="24"/>
        </w:rPr>
        <w:t xml:space="preserve"> </w:t>
      </w:r>
      <w:r w:rsidRPr="009436A1">
        <w:rPr>
          <w:rFonts w:eastAsia="Times New Roman"/>
          <w:b/>
          <w:color w:val="000000"/>
          <w:sz w:val="24"/>
          <w:szCs w:val="24"/>
        </w:rPr>
        <w:t>REDEVELOPMENT AREA</w:t>
      </w:r>
    </w:p>
    <w:p w:rsidR="009436A1" w:rsidRPr="009436A1" w:rsidP="009436A1" w14:paraId="5FC63E1F" w14:textId="77777777">
      <w:pPr>
        <w:spacing w:line="264" w:lineRule="exact"/>
        <w:ind w:left="720" w:right="720"/>
        <w:jc w:val="both"/>
        <w:textAlignment w:val="baseline"/>
        <w:rPr>
          <w:rFonts w:eastAsia="Times New Roman"/>
          <w:b/>
          <w:color w:val="000000"/>
          <w:sz w:val="24"/>
          <w:szCs w:val="24"/>
        </w:rPr>
      </w:pPr>
    </w:p>
    <w:p w:rsidR="009436A1" w:rsidRPr="009436A1" w:rsidP="009436A1" w14:paraId="27D3CAD1" w14:textId="0334D0A1">
      <w:pPr>
        <w:spacing w:line="264" w:lineRule="exact"/>
        <w:ind w:firstLine="720"/>
        <w:jc w:val="both"/>
        <w:textAlignment w:val="baseline"/>
        <w:rPr>
          <w:rFonts w:eastAsia="Times New Roman"/>
          <w:color w:val="000000"/>
          <w:sz w:val="24"/>
          <w:szCs w:val="24"/>
        </w:rPr>
      </w:pPr>
      <w:r w:rsidRPr="009436A1">
        <w:rPr>
          <w:rFonts w:eastAsia="Times New Roman"/>
          <w:b/>
          <w:color w:val="000000"/>
          <w:sz w:val="24"/>
          <w:szCs w:val="24"/>
        </w:rPr>
        <w:t>WHEREAS</w:t>
      </w:r>
      <w:r w:rsidRPr="009436A1">
        <w:rPr>
          <w:rFonts w:eastAsia="Times New Roman"/>
          <w:color w:val="000000"/>
          <w:sz w:val="24"/>
          <w:szCs w:val="24"/>
        </w:rPr>
        <w:t>, the Jersey City Redevelopment Agency (the “</w:t>
      </w:r>
      <w:r w:rsidRPr="009436A1">
        <w:rPr>
          <w:rFonts w:eastAsia="Times New Roman"/>
          <w:b/>
          <w:bCs/>
          <w:color w:val="000000"/>
          <w:sz w:val="24"/>
          <w:szCs w:val="24"/>
        </w:rPr>
        <w:t>Agency</w:t>
      </w:r>
      <w:r w:rsidRPr="009436A1">
        <w:rPr>
          <w:rFonts w:eastAsia="Times New Roman"/>
          <w:color w:val="000000"/>
          <w:sz w:val="24"/>
          <w:szCs w:val="24"/>
        </w:rPr>
        <w:t xml:space="preserve">”) was established </w:t>
      </w:r>
      <w:r w:rsidR="00BB4A25">
        <w:rPr>
          <w:rFonts w:eastAsia="Times New Roman"/>
          <w:color w:val="000000"/>
          <w:sz w:val="24"/>
          <w:szCs w:val="24"/>
        </w:rPr>
        <w:t>by</w:t>
      </w:r>
      <w:r w:rsidRPr="009436A1">
        <w:rPr>
          <w:rFonts w:eastAsia="Times New Roman"/>
          <w:color w:val="000000"/>
          <w:sz w:val="24"/>
          <w:szCs w:val="24"/>
        </w:rPr>
        <w:t xml:space="preserve"> the City of Jersey City (the “</w:t>
      </w:r>
      <w:r w:rsidRPr="009436A1">
        <w:rPr>
          <w:rFonts w:eastAsia="Times New Roman"/>
          <w:b/>
          <w:bCs/>
          <w:color w:val="000000"/>
          <w:sz w:val="24"/>
          <w:szCs w:val="24"/>
        </w:rPr>
        <w:t>City</w:t>
      </w:r>
      <w:r w:rsidRPr="009436A1">
        <w:rPr>
          <w:rFonts w:eastAsia="Times New Roman"/>
          <w:color w:val="000000"/>
          <w:sz w:val="24"/>
          <w:szCs w:val="24"/>
        </w:rPr>
        <w:t xml:space="preserve">”) and has responsibility for implementing redevelopment plans and carrying out redevelopment projects in the City pursuant to the provisions of the Local Redevelopment and Housing Law, </w:t>
      </w:r>
      <w:r w:rsidRPr="009436A1">
        <w:rPr>
          <w:rFonts w:eastAsia="Times New Roman"/>
          <w:i/>
          <w:color w:val="000000"/>
          <w:sz w:val="24"/>
          <w:szCs w:val="24"/>
        </w:rPr>
        <w:t xml:space="preserve">N.J.S.A. </w:t>
      </w:r>
      <w:r w:rsidRPr="009436A1">
        <w:rPr>
          <w:rFonts w:eastAsia="Times New Roman"/>
          <w:color w:val="000000"/>
          <w:sz w:val="24"/>
          <w:szCs w:val="24"/>
        </w:rPr>
        <w:t xml:space="preserve">40A:12A-1 </w:t>
      </w:r>
      <w:r w:rsidRPr="009436A1">
        <w:rPr>
          <w:rFonts w:eastAsia="Times New Roman"/>
          <w:i/>
          <w:color w:val="000000"/>
          <w:sz w:val="24"/>
          <w:szCs w:val="24"/>
        </w:rPr>
        <w:t xml:space="preserve">et seq. </w:t>
      </w:r>
      <w:r w:rsidRPr="009436A1">
        <w:rPr>
          <w:rFonts w:eastAsia="Times New Roman"/>
          <w:color w:val="000000"/>
          <w:sz w:val="24"/>
          <w:szCs w:val="24"/>
        </w:rPr>
        <w:t>(as may be amended and/or supplemented from time to time, the “</w:t>
      </w:r>
      <w:r w:rsidRPr="009436A1">
        <w:rPr>
          <w:rFonts w:eastAsia="Times New Roman"/>
          <w:b/>
          <w:bCs/>
          <w:color w:val="000000"/>
          <w:sz w:val="24"/>
          <w:szCs w:val="24"/>
        </w:rPr>
        <w:t>Redevelopment Law</w:t>
      </w:r>
      <w:r w:rsidRPr="009436A1">
        <w:rPr>
          <w:rFonts w:eastAsia="Times New Roman"/>
          <w:color w:val="000000"/>
          <w:sz w:val="24"/>
          <w:szCs w:val="24"/>
        </w:rPr>
        <w:t>”); and</w:t>
      </w:r>
    </w:p>
    <w:p w:rsidR="009436A1" w:rsidRPr="009436A1" w:rsidP="009436A1" w14:paraId="031873C5" w14:textId="77777777">
      <w:pPr>
        <w:ind w:left="72" w:firstLine="720"/>
        <w:jc w:val="both"/>
        <w:textAlignment w:val="baseline"/>
        <w:rPr>
          <w:rFonts w:eastAsia="Times New Roman"/>
          <w:color w:val="000000"/>
          <w:sz w:val="24"/>
          <w:szCs w:val="24"/>
        </w:rPr>
      </w:pPr>
    </w:p>
    <w:p w:rsidR="009436A1" w:rsidP="009436A1" w14:paraId="5C1DF6C0" w14:textId="1E23B458">
      <w:pPr>
        <w:ind w:left="72" w:firstLine="720"/>
        <w:jc w:val="both"/>
        <w:textAlignment w:val="baseline"/>
        <w:rPr>
          <w:rFonts w:eastAsia="Times New Roman"/>
          <w:color w:val="000000"/>
          <w:sz w:val="24"/>
          <w:szCs w:val="24"/>
        </w:rPr>
      </w:pPr>
      <w:r w:rsidRPr="009436A1">
        <w:rPr>
          <w:rFonts w:eastAsia="Times New Roman"/>
          <w:b/>
          <w:color w:val="000000"/>
          <w:sz w:val="24"/>
          <w:szCs w:val="24"/>
        </w:rPr>
        <w:t>WHEREAS</w:t>
      </w:r>
      <w:r w:rsidRPr="009436A1">
        <w:rPr>
          <w:rFonts w:eastAsia="Times New Roman"/>
          <w:color w:val="000000"/>
          <w:sz w:val="24"/>
          <w:szCs w:val="24"/>
        </w:rPr>
        <w:t xml:space="preserve">, in accordance with the Redevelopment Law, the City designated that certain area known as the </w:t>
      </w:r>
      <w:r w:rsidRPr="009436A1">
        <w:rPr>
          <w:sz w:val="24"/>
          <w:szCs w:val="24"/>
        </w:rPr>
        <w:t>Journal Square 2060</w:t>
      </w:r>
      <w:r w:rsidRPr="009436A1">
        <w:rPr>
          <w:b/>
          <w:sz w:val="24"/>
          <w:szCs w:val="24"/>
        </w:rPr>
        <w:t xml:space="preserve"> </w:t>
      </w:r>
      <w:r w:rsidRPr="009436A1">
        <w:rPr>
          <w:rFonts w:eastAsia="Times New Roman"/>
          <w:color w:val="000000"/>
          <w:sz w:val="24"/>
          <w:szCs w:val="24"/>
        </w:rPr>
        <w:t>Redevelopment Area (the “</w:t>
      </w:r>
      <w:r w:rsidRPr="009436A1">
        <w:rPr>
          <w:rFonts w:eastAsia="Times New Roman"/>
          <w:b/>
          <w:bCs/>
          <w:color w:val="000000"/>
          <w:sz w:val="24"/>
          <w:szCs w:val="24"/>
        </w:rPr>
        <w:t>Redevelopment Area</w:t>
      </w:r>
      <w:r w:rsidRPr="009436A1">
        <w:rPr>
          <w:rFonts w:eastAsia="Times New Roman"/>
          <w:color w:val="000000"/>
          <w:sz w:val="24"/>
          <w:szCs w:val="24"/>
        </w:rPr>
        <w:t xml:space="preserve">”) </w:t>
      </w:r>
      <w:r w:rsidR="00D8377D">
        <w:rPr>
          <w:rFonts w:eastAsia="Times New Roman"/>
          <w:color w:val="000000"/>
          <w:sz w:val="24"/>
          <w:szCs w:val="24"/>
        </w:rPr>
        <w:t xml:space="preserve">as an area in need of redevelopment </w:t>
      </w:r>
      <w:r w:rsidRPr="009436A1">
        <w:rPr>
          <w:rFonts w:eastAsia="Times New Roman"/>
          <w:color w:val="000000"/>
          <w:sz w:val="24"/>
          <w:szCs w:val="24"/>
        </w:rPr>
        <w:t>and enacted a redevelopment plan entitled the “</w:t>
      </w:r>
      <w:r w:rsidRPr="009436A1">
        <w:rPr>
          <w:sz w:val="24"/>
          <w:szCs w:val="24"/>
        </w:rPr>
        <w:t>Journal Square 2060</w:t>
      </w:r>
      <w:r w:rsidRPr="009436A1">
        <w:rPr>
          <w:rFonts w:eastAsia="Times New Roman"/>
          <w:color w:val="000000"/>
          <w:sz w:val="24"/>
          <w:szCs w:val="24"/>
        </w:rPr>
        <w:t xml:space="preserve"> Redevelopment Plan” in order to effectuate the redevelopment of the Redevelopment Area (as amended and supplemented from time to time, the “</w:t>
      </w:r>
      <w:r w:rsidRPr="009436A1">
        <w:rPr>
          <w:rFonts w:eastAsia="Times New Roman"/>
          <w:b/>
          <w:bCs/>
          <w:color w:val="000000"/>
          <w:sz w:val="24"/>
          <w:szCs w:val="24"/>
        </w:rPr>
        <w:t>Redevelopment Plan</w:t>
      </w:r>
      <w:r w:rsidRPr="009436A1">
        <w:rPr>
          <w:rFonts w:eastAsia="Times New Roman"/>
          <w:color w:val="000000"/>
          <w:sz w:val="24"/>
          <w:szCs w:val="24"/>
        </w:rPr>
        <w:t xml:space="preserve">”); and </w:t>
      </w:r>
    </w:p>
    <w:p w:rsidR="00E63EA2" w:rsidP="009436A1" w14:paraId="718C3399" w14:textId="77AEF0EB">
      <w:pPr>
        <w:ind w:left="72" w:firstLine="720"/>
        <w:jc w:val="both"/>
        <w:textAlignment w:val="baseline"/>
        <w:rPr>
          <w:rFonts w:eastAsia="Times New Roman"/>
          <w:color w:val="000000"/>
          <w:sz w:val="24"/>
          <w:szCs w:val="24"/>
        </w:rPr>
      </w:pPr>
    </w:p>
    <w:p w:rsidR="00F922FF" w:rsidP="009436A1" w14:paraId="07215C64" w14:textId="77777777">
      <w:pPr>
        <w:ind w:left="72" w:firstLine="720"/>
        <w:jc w:val="both"/>
        <w:textAlignment w:val="baseline"/>
        <w:rPr>
          <w:rFonts w:eastAsia="Times New Roman"/>
          <w:color w:val="000000"/>
          <w:sz w:val="24"/>
          <w:szCs w:val="24"/>
        </w:rPr>
      </w:pPr>
      <w:r w:rsidRPr="00E63EA2">
        <w:rPr>
          <w:rFonts w:eastAsia="Times New Roman"/>
          <w:b/>
          <w:bCs/>
          <w:color w:val="000000"/>
          <w:sz w:val="24"/>
          <w:szCs w:val="24"/>
        </w:rPr>
        <w:t>WHEREAS</w:t>
      </w:r>
      <w:r>
        <w:rPr>
          <w:rFonts w:eastAsia="Times New Roman"/>
          <w:color w:val="000000"/>
          <w:sz w:val="24"/>
          <w:szCs w:val="24"/>
        </w:rPr>
        <w:t xml:space="preserve">, on May 17, 2022, the </w:t>
      </w:r>
      <w:r w:rsidR="00BD28C1">
        <w:rPr>
          <w:rFonts w:eastAsia="Times New Roman"/>
          <w:color w:val="000000"/>
          <w:sz w:val="24"/>
          <w:szCs w:val="24"/>
        </w:rPr>
        <w:t xml:space="preserve">Board of Commissioners of the </w:t>
      </w:r>
      <w:r>
        <w:rPr>
          <w:rFonts w:eastAsia="Times New Roman"/>
          <w:color w:val="000000"/>
          <w:sz w:val="24"/>
          <w:szCs w:val="24"/>
        </w:rPr>
        <w:t>Agency adopted Resolution No. 22-05-7 designating KRE/Silverstein 808 Pavonia LLC (the “</w:t>
      </w:r>
      <w:r w:rsidRPr="00E63EA2">
        <w:rPr>
          <w:rFonts w:eastAsia="Times New Roman"/>
          <w:b/>
          <w:bCs/>
          <w:color w:val="000000"/>
          <w:sz w:val="24"/>
          <w:szCs w:val="24"/>
        </w:rPr>
        <w:t>Original Redeveloper</w:t>
      </w:r>
      <w:r>
        <w:rPr>
          <w:rFonts w:eastAsia="Times New Roman"/>
          <w:color w:val="000000"/>
          <w:sz w:val="24"/>
          <w:szCs w:val="24"/>
        </w:rPr>
        <w:t>”) as the redeveloper of certain parcels within the Redevelopment Area</w:t>
      </w:r>
      <w:r w:rsidRPr="00E63EA2">
        <w:rPr>
          <w:sz w:val="24"/>
          <w:szCs w:val="24"/>
        </w:rPr>
        <w:t xml:space="preserve"> </w:t>
      </w:r>
      <w:r w:rsidRPr="00307955">
        <w:rPr>
          <w:sz w:val="24"/>
          <w:szCs w:val="24"/>
        </w:rPr>
        <w:t xml:space="preserve">identified on the official tax maps of the City </w:t>
      </w:r>
      <w:r>
        <w:rPr>
          <w:sz w:val="24"/>
          <w:szCs w:val="24"/>
        </w:rPr>
        <w:t xml:space="preserve">as </w:t>
      </w:r>
      <w:r w:rsidRPr="00307955">
        <w:rPr>
          <w:sz w:val="24"/>
          <w:szCs w:val="24"/>
        </w:rPr>
        <w:t xml:space="preserve">Block 10601, Lots 38 and 39 and Block 9404, Lots 34, 35, and 41, commonly known as </w:t>
      </w:r>
      <w:bookmarkStart w:id="0" w:name="_Hlk110875165"/>
      <w:r w:rsidRPr="00307955">
        <w:rPr>
          <w:sz w:val="24"/>
          <w:szCs w:val="24"/>
        </w:rPr>
        <w:t>813 Pavonia Avenue, 270 Magnolia Avenue, 808 Pavonia Avenue, 132-140 Van Reipen Avenue, and 12 Bryan Place</w:t>
      </w:r>
      <w:bookmarkEnd w:id="0"/>
      <w:r w:rsidRPr="00307955">
        <w:rPr>
          <w:rFonts w:eastAsia="Times New Roman"/>
          <w:color w:val="000000"/>
          <w:sz w:val="24"/>
          <w:szCs w:val="24"/>
        </w:rPr>
        <w:t xml:space="preserve"> (collectively, the “</w:t>
      </w:r>
      <w:r w:rsidRPr="00307955">
        <w:rPr>
          <w:rFonts w:eastAsia="Times New Roman"/>
          <w:b/>
          <w:bCs/>
          <w:color w:val="000000"/>
          <w:sz w:val="24"/>
          <w:szCs w:val="24"/>
        </w:rPr>
        <w:t>Property</w:t>
      </w:r>
      <w:r w:rsidRPr="00307955">
        <w:rPr>
          <w:rFonts w:eastAsia="Times New Roman"/>
          <w:color w:val="000000"/>
          <w:sz w:val="24"/>
          <w:szCs w:val="24"/>
        </w:rPr>
        <w:t>”)</w:t>
      </w:r>
      <w:r w:rsidR="00BD28C1">
        <w:rPr>
          <w:rFonts w:eastAsia="Times New Roman"/>
          <w:color w:val="000000"/>
          <w:sz w:val="24"/>
          <w:szCs w:val="24"/>
        </w:rPr>
        <w:t xml:space="preserve">; </w:t>
      </w:r>
      <w:r>
        <w:rPr>
          <w:rFonts w:eastAsia="Times New Roman"/>
          <w:color w:val="000000"/>
          <w:sz w:val="24"/>
          <w:szCs w:val="24"/>
        </w:rPr>
        <w:t xml:space="preserve">and </w:t>
      </w:r>
    </w:p>
    <w:p w:rsidR="00F922FF" w:rsidP="009436A1" w14:paraId="526F1928" w14:textId="77777777">
      <w:pPr>
        <w:ind w:left="72" w:firstLine="720"/>
        <w:jc w:val="both"/>
        <w:textAlignment w:val="baseline"/>
        <w:rPr>
          <w:rFonts w:eastAsia="Times New Roman"/>
          <w:color w:val="000000"/>
          <w:sz w:val="24"/>
          <w:szCs w:val="24"/>
        </w:rPr>
      </w:pPr>
    </w:p>
    <w:p w:rsidR="00E63EA2" w:rsidRPr="009436A1" w:rsidP="009436A1" w14:paraId="0D5D6F85" w14:textId="2525E1AA">
      <w:pPr>
        <w:ind w:left="72" w:firstLine="720"/>
        <w:jc w:val="both"/>
        <w:textAlignment w:val="baseline"/>
        <w:rPr>
          <w:rFonts w:eastAsia="Times New Roman"/>
          <w:color w:val="000000"/>
          <w:sz w:val="24"/>
          <w:szCs w:val="24"/>
        </w:rPr>
      </w:pPr>
      <w:r w:rsidRPr="00E63EA2">
        <w:rPr>
          <w:rFonts w:eastAsia="Times New Roman"/>
          <w:b/>
          <w:bCs/>
          <w:color w:val="000000"/>
          <w:sz w:val="24"/>
          <w:szCs w:val="24"/>
        </w:rPr>
        <w:t>WHEREAS</w:t>
      </w:r>
      <w:r>
        <w:rPr>
          <w:rFonts w:eastAsia="Times New Roman"/>
          <w:color w:val="000000"/>
          <w:sz w:val="24"/>
          <w:szCs w:val="24"/>
        </w:rPr>
        <w:t xml:space="preserve">, on August 16, 2022, the Agency </w:t>
      </w:r>
      <w:r>
        <w:rPr>
          <w:rFonts w:eastAsia="Times New Roman"/>
          <w:color w:val="000000"/>
          <w:sz w:val="24"/>
          <w:szCs w:val="24"/>
        </w:rPr>
        <w:t>adopted Resolution No. 22-08-6 authorizing the execution of a redevelopment agreement with the Original Redeveloper (the “</w:t>
      </w:r>
      <w:r w:rsidRPr="00E63EA2">
        <w:rPr>
          <w:rFonts w:eastAsia="Times New Roman"/>
          <w:b/>
          <w:bCs/>
          <w:color w:val="000000"/>
          <w:sz w:val="24"/>
          <w:szCs w:val="24"/>
        </w:rPr>
        <w:t>Original Redevelopment Agreement</w:t>
      </w:r>
      <w:r>
        <w:rPr>
          <w:rFonts w:eastAsia="Times New Roman"/>
          <w:color w:val="000000"/>
          <w:sz w:val="24"/>
          <w:szCs w:val="24"/>
        </w:rPr>
        <w:t>”)</w:t>
      </w:r>
      <w:r w:rsidR="00200395">
        <w:rPr>
          <w:rFonts w:eastAsia="Times New Roman"/>
          <w:color w:val="000000"/>
          <w:sz w:val="24"/>
          <w:szCs w:val="24"/>
        </w:rPr>
        <w:t>; and</w:t>
      </w:r>
    </w:p>
    <w:p w:rsidR="00F922FF" w:rsidP="00F922FF" w14:paraId="17872EE7" w14:textId="505FEDCE">
      <w:pPr>
        <w:spacing w:before="279" w:line="264" w:lineRule="exact"/>
        <w:ind w:firstLine="720"/>
        <w:jc w:val="both"/>
        <w:textAlignment w:val="baseline"/>
        <w:rPr>
          <w:rFonts w:eastAsia="Times New Roman"/>
          <w:color w:val="000000"/>
          <w:spacing w:val="1"/>
          <w:sz w:val="24"/>
          <w:szCs w:val="24"/>
        </w:rPr>
      </w:pPr>
      <w:r w:rsidRPr="002B01DB">
        <w:rPr>
          <w:rFonts w:eastAsia="Times New Roman"/>
          <w:b/>
          <w:bCs/>
          <w:color w:val="000000"/>
          <w:spacing w:val="1"/>
          <w:sz w:val="24"/>
          <w:szCs w:val="24"/>
        </w:rPr>
        <w:t>WHEREAS</w:t>
      </w:r>
      <w:r>
        <w:rPr>
          <w:rFonts w:eastAsia="Times New Roman"/>
          <w:color w:val="000000"/>
          <w:spacing w:val="1"/>
          <w:sz w:val="24"/>
          <w:szCs w:val="24"/>
        </w:rPr>
        <w:t xml:space="preserve">, on November 22, 2022 the Agency adopted Resolution 22-11-10 authorizing a first amendment to the Original Redevelopment Agreement, which was not executed; and </w:t>
      </w:r>
    </w:p>
    <w:p w:rsidR="00F922FF" w:rsidP="00F922FF" w14:paraId="381F1721" w14:textId="77777777">
      <w:pPr>
        <w:autoSpaceDE w:val="0"/>
        <w:autoSpaceDN w:val="0"/>
        <w:adjustRightInd w:val="0"/>
        <w:ind w:firstLine="720"/>
        <w:jc w:val="both"/>
        <w:rPr>
          <w:b/>
          <w:bCs/>
          <w:sz w:val="24"/>
          <w:szCs w:val="24"/>
        </w:rPr>
      </w:pPr>
    </w:p>
    <w:p w:rsidR="00F922FF" w:rsidP="00F922FF" w14:paraId="1BC72435" w14:textId="1A3EA7F3">
      <w:pPr>
        <w:autoSpaceDE w:val="0"/>
        <w:autoSpaceDN w:val="0"/>
        <w:adjustRightInd w:val="0"/>
        <w:ind w:firstLine="720"/>
        <w:jc w:val="both"/>
        <w:rPr>
          <w:rFonts w:eastAsia="Times New Roman"/>
          <w:color w:val="000000"/>
          <w:sz w:val="24"/>
          <w:szCs w:val="24"/>
        </w:rPr>
      </w:pPr>
      <w:r>
        <w:rPr>
          <w:b/>
          <w:bCs/>
          <w:sz w:val="24"/>
          <w:szCs w:val="24"/>
        </w:rPr>
        <w:t>WHEREAS</w:t>
      </w:r>
      <w:r>
        <w:rPr>
          <w:sz w:val="24"/>
          <w:szCs w:val="24"/>
        </w:rPr>
        <w:t xml:space="preserve">, the Original Redeveloper proposed to </w:t>
      </w:r>
      <w:r w:rsidRPr="006E38E3">
        <w:rPr>
          <w:rFonts w:eastAsia="Times New Roman"/>
          <w:color w:val="000000"/>
          <w:sz w:val="24"/>
          <w:szCs w:val="24"/>
        </w:rPr>
        <w:t>develop, finance and construct</w:t>
      </w:r>
      <w:r>
        <w:rPr>
          <w:rFonts w:eastAsia="Times New Roman"/>
          <w:color w:val="000000"/>
          <w:sz w:val="24"/>
          <w:szCs w:val="24"/>
        </w:rPr>
        <w:t xml:space="preserve"> the Project in two (2) distinct phases (each, a “</w:t>
      </w:r>
      <w:r>
        <w:rPr>
          <w:rFonts w:eastAsia="Times New Roman"/>
          <w:b/>
          <w:bCs/>
          <w:color w:val="000000"/>
          <w:sz w:val="24"/>
          <w:szCs w:val="24"/>
        </w:rPr>
        <w:t>Phase</w:t>
      </w:r>
      <w:r>
        <w:rPr>
          <w:rFonts w:eastAsia="Times New Roman"/>
          <w:color w:val="000000"/>
          <w:sz w:val="24"/>
          <w:szCs w:val="24"/>
        </w:rPr>
        <w:t>”); and</w:t>
      </w:r>
    </w:p>
    <w:p w:rsidR="00F922FF" w:rsidP="00F922FF" w14:paraId="41C4C937" w14:textId="77777777">
      <w:pPr>
        <w:spacing w:before="279" w:line="264" w:lineRule="exact"/>
        <w:ind w:firstLine="720"/>
        <w:jc w:val="both"/>
        <w:textAlignment w:val="baseline"/>
        <w:rPr>
          <w:rFonts w:eastAsia="Times New Roman"/>
          <w:color w:val="000000"/>
          <w:spacing w:val="1"/>
          <w:sz w:val="24"/>
          <w:szCs w:val="24"/>
        </w:rPr>
      </w:pPr>
      <w:r w:rsidRPr="004B4907">
        <w:rPr>
          <w:rFonts w:eastAsia="Times New Roman"/>
          <w:b/>
          <w:bCs/>
          <w:color w:val="000000"/>
          <w:spacing w:val="1"/>
          <w:sz w:val="24"/>
          <w:szCs w:val="24"/>
        </w:rPr>
        <w:t>WHEREAS</w:t>
      </w:r>
      <w:r>
        <w:rPr>
          <w:rFonts w:eastAsia="Times New Roman"/>
          <w:color w:val="000000"/>
          <w:spacing w:val="1"/>
          <w:sz w:val="24"/>
          <w:szCs w:val="24"/>
        </w:rPr>
        <w:t xml:space="preserve">, the Original Redeveloper requested that the Agency terminate the Original Redevelopment Agreement and authorize two separate redevelopment agreements with its affiliates as to the two Phases of the Combined Project; and </w:t>
      </w:r>
    </w:p>
    <w:p w:rsidR="00F922FF" w:rsidP="009436A1" w14:paraId="281F2CBB" w14:textId="77777777">
      <w:pPr>
        <w:ind w:left="72" w:firstLine="720"/>
        <w:jc w:val="both"/>
        <w:textAlignment w:val="baseline"/>
        <w:rPr>
          <w:rFonts w:eastAsia="Times New Roman"/>
          <w:b/>
          <w:color w:val="000000"/>
          <w:sz w:val="24"/>
          <w:szCs w:val="24"/>
        </w:rPr>
      </w:pPr>
    </w:p>
    <w:p w:rsidR="00F922FF" w:rsidP="009436A1" w14:paraId="544BCF75" w14:textId="77777777">
      <w:pPr>
        <w:ind w:left="72" w:firstLine="720"/>
        <w:jc w:val="both"/>
        <w:textAlignment w:val="baseline"/>
        <w:rPr>
          <w:rFonts w:eastAsia="Times New Roman"/>
          <w:b/>
          <w:color w:val="000000"/>
          <w:sz w:val="24"/>
          <w:szCs w:val="24"/>
        </w:rPr>
      </w:pPr>
    </w:p>
    <w:p w:rsidR="009436A1" w:rsidRPr="00307955" w:rsidP="009436A1" w14:paraId="24848113" w14:textId="04A8A197">
      <w:pPr>
        <w:ind w:left="72" w:firstLine="720"/>
        <w:jc w:val="both"/>
        <w:textAlignment w:val="baseline"/>
        <w:rPr>
          <w:rFonts w:eastAsia="Times New Roman"/>
          <w:color w:val="000000"/>
          <w:sz w:val="24"/>
          <w:szCs w:val="24"/>
        </w:rPr>
      </w:pPr>
      <w:r w:rsidRPr="00307955">
        <w:rPr>
          <w:rFonts w:eastAsia="Times New Roman"/>
          <w:b/>
          <w:color w:val="000000"/>
          <w:sz w:val="24"/>
          <w:szCs w:val="24"/>
        </w:rPr>
        <w:t>WHEREAS</w:t>
      </w:r>
      <w:r w:rsidRPr="00307955">
        <w:rPr>
          <w:rFonts w:eastAsia="Times New Roman"/>
          <w:color w:val="000000"/>
          <w:sz w:val="24"/>
          <w:szCs w:val="24"/>
        </w:rPr>
        <w:t xml:space="preserve">, </w:t>
      </w:r>
      <w:r w:rsidR="00200395">
        <w:rPr>
          <w:rFonts w:eastAsia="Times New Roman"/>
          <w:color w:val="000000"/>
          <w:sz w:val="24"/>
          <w:szCs w:val="24"/>
        </w:rPr>
        <w:t xml:space="preserve"> </w:t>
      </w:r>
      <w:r w:rsidRPr="00307955" w:rsidR="00B92DFA">
        <w:rPr>
          <w:sz w:val="24"/>
          <w:szCs w:val="24"/>
        </w:rPr>
        <w:t>808 Pavonia</w:t>
      </w:r>
      <w:r w:rsidR="00A47A5B">
        <w:rPr>
          <w:sz w:val="24"/>
          <w:szCs w:val="24"/>
        </w:rPr>
        <w:t xml:space="preserve"> Phase I Owner,</w:t>
      </w:r>
      <w:r w:rsidRPr="00307955" w:rsidR="00B92DFA">
        <w:rPr>
          <w:sz w:val="24"/>
          <w:szCs w:val="24"/>
        </w:rPr>
        <w:t xml:space="preserve"> LLC (</w:t>
      </w:r>
      <w:r w:rsidRPr="00307955" w:rsidR="00B92DFA">
        <w:rPr>
          <w:rFonts w:eastAsia="Times New Roman"/>
          <w:color w:val="000000"/>
          <w:sz w:val="24"/>
          <w:szCs w:val="24"/>
        </w:rPr>
        <w:t>the “</w:t>
      </w:r>
      <w:r w:rsidRPr="00F432DA" w:rsidR="00F432DA">
        <w:rPr>
          <w:rFonts w:eastAsia="Times New Roman"/>
          <w:b/>
          <w:bCs/>
          <w:color w:val="000000"/>
          <w:sz w:val="24"/>
          <w:szCs w:val="24"/>
        </w:rPr>
        <w:t>New Phase 1</w:t>
      </w:r>
      <w:r w:rsidR="00F432DA">
        <w:rPr>
          <w:rFonts w:eastAsia="Times New Roman"/>
          <w:color w:val="000000"/>
          <w:sz w:val="24"/>
          <w:szCs w:val="24"/>
        </w:rPr>
        <w:t xml:space="preserve"> </w:t>
      </w:r>
      <w:r w:rsidRPr="00307955" w:rsidR="00B92DFA">
        <w:rPr>
          <w:rFonts w:eastAsia="Times New Roman"/>
          <w:b/>
          <w:bCs/>
          <w:color w:val="000000"/>
          <w:sz w:val="24"/>
          <w:szCs w:val="24"/>
        </w:rPr>
        <w:t>Redeveloper</w:t>
      </w:r>
      <w:r w:rsidRPr="00307955" w:rsidR="00B92DFA">
        <w:rPr>
          <w:rFonts w:eastAsia="Times New Roman"/>
          <w:color w:val="000000"/>
          <w:sz w:val="24"/>
          <w:szCs w:val="24"/>
        </w:rPr>
        <w:t>”)</w:t>
      </w:r>
      <w:r w:rsidR="00F432DA">
        <w:rPr>
          <w:rFonts w:eastAsia="Times New Roman"/>
          <w:color w:val="000000"/>
          <w:sz w:val="24"/>
          <w:szCs w:val="24"/>
        </w:rPr>
        <w:t xml:space="preserve"> and 808 Pavonia Phase II Owner, LLC (the “</w:t>
      </w:r>
      <w:r w:rsidRPr="00F432DA" w:rsidR="00F432DA">
        <w:rPr>
          <w:rFonts w:eastAsia="Times New Roman"/>
          <w:b/>
          <w:bCs/>
          <w:color w:val="000000"/>
          <w:sz w:val="24"/>
          <w:szCs w:val="24"/>
        </w:rPr>
        <w:t>New Phase 2 Redeveloper</w:t>
      </w:r>
      <w:r w:rsidR="00F432DA">
        <w:rPr>
          <w:rFonts w:eastAsia="Times New Roman"/>
          <w:color w:val="000000"/>
          <w:sz w:val="24"/>
          <w:szCs w:val="24"/>
        </w:rPr>
        <w:t>”)</w:t>
      </w:r>
      <w:r w:rsidR="00200395">
        <w:rPr>
          <w:rFonts w:eastAsia="Times New Roman"/>
          <w:color w:val="000000"/>
          <w:sz w:val="24"/>
          <w:szCs w:val="24"/>
        </w:rPr>
        <w:t>,</w:t>
      </w:r>
      <w:r w:rsidRPr="00307955" w:rsidR="00B92DFA">
        <w:rPr>
          <w:sz w:val="24"/>
          <w:szCs w:val="24"/>
        </w:rPr>
        <w:t xml:space="preserve"> </w:t>
      </w:r>
      <w:r w:rsidR="00200395">
        <w:rPr>
          <w:sz w:val="24"/>
          <w:szCs w:val="24"/>
        </w:rPr>
        <w:t xml:space="preserve">affiliates of the Original Redeveloper are </w:t>
      </w:r>
      <w:r w:rsidRPr="00307955" w:rsidR="00B92DFA">
        <w:rPr>
          <w:sz w:val="24"/>
          <w:szCs w:val="24"/>
        </w:rPr>
        <w:t xml:space="preserve">the </w:t>
      </w:r>
      <w:r w:rsidR="00200395">
        <w:rPr>
          <w:sz w:val="24"/>
          <w:szCs w:val="24"/>
        </w:rPr>
        <w:t xml:space="preserve">new </w:t>
      </w:r>
      <w:r w:rsidRPr="00307955" w:rsidR="00B92DFA">
        <w:rPr>
          <w:sz w:val="24"/>
          <w:szCs w:val="24"/>
        </w:rPr>
        <w:t>contract purchaser</w:t>
      </w:r>
      <w:r w:rsidR="00F432DA">
        <w:rPr>
          <w:sz w:val="24"/>
          <w:szCs w:val="24"/>
        </w:rPr>
        <w:t>s</w:t>
      </w:r>
      <w:r w:rsidRPr="00307955" w:rsidR="00B92DFA">
        <w:rPr>
          <w:sz w:val="24"/>
          <w:szCs w:val="24"/>
        </w:rPr>
        <w:t xml:space="preserve"> </w:t>
      </w:r>
      <w:r w:rsidRPr="00307955">
        <w:rPr>
          <w:rFonts w:eastAsia="Times New Roman"/>
          <w:color w:val="000000"/>
          <w:sz w:val="24"/>
          <w:szCs w:val="24"/>
        </w:rPr>
        <w:t xml:space="preserve">of </w:t>
      </w:r>
      <w:r w:rsidR="00200395">
        <w:rPr>
          <w:rFonts w:eastAsia="Times New Roman"/>
          <w:color w:val="000000"/>
          <w:sz w:val="24"/>
          <w:szCs w:val="24"/>
        </w:rPr>
        <w:t xml:space="preserve">the Property; </w:t>
      </w:r>
      <w:r w:rsidRPr="00307955">
        <w:rPr>
          <w:rFonts w:eastAsia="Times New Roman"/>
          <w:color w:val="000000"/>
          <w:sz w:val="24"/>
          <w:szCs w:val="24"/>
        </w:rPr>
        <w:t>and</w:t>
      </w:r>
    </w:p>
    <w:p w:rsidR="005A377F" w:rsidRPr="009436A1" w:rsidP="00B92DFA" w14:paraId="39DAFC1E" w14:textId="77777777">
      <w:pPr>
        <w:spacing w:line="264" w:lineRule="exact"/>
        <w:jc w:val="both"/>
        <w:textAlignment w:val="baseline"/>
        <w:rPr>
          <w:rFonts w:eastAsia="Times New Roman"/>
          <w:color w:val="000000"/>
          <w:sz w:val="24"/>
          <w:szCs w:val="24"/>
        </w:rPr>
      </w:pPr>
    </w:p>
    <w:p w:rsidR="005A377F" w:rsidP="003D2FC5" w14:paraId="1966BEB8" w14:textId="7CF2B277">
      <w:pPr>
        <w:spacing w:line="264" w:lineRule="exact"/>
        <w:ind w:left="72" w:firstLine="720"/>
        <w:jc w:val="both"/>
        <w:textAlignment w:val="baseline"/>
        <w:rPr>
          <w:rFonts w:eastAsia="Times New Roman"/>
          <w:sz w:val="24"/>
          <w:szCs w:val="24"/>
        </w:rPr>
      </w:pPr>
      <w:r w:rsidRPr="009436A1">
        <w:rPr>
          <w:rFonts w:eastAsia="Times New Roman"/>
          <w:b/>
          <w:color w:val="000000"/>
          <w:sz w:val="24"/>
          <w:szCs w:val="24"/>
        </w:rPr>
        <w:t>WHEREAS</w:t>
      </w:r>
      <w:r w:rsidRPr="009436A1">
        <w:rPr>
          <w:rFonts w:eastAsia="Times New Roman"/>
          <w:color w:val="000000"/>
          <w:sz w:val="24"/>
          <w:szCs w:val="24"/>
        </w:rPr>
        <w:t xml:space="preserve">, </w:t>
      </w:r>
      <w:r w:rsidR="00BB4A25">
        <w:rPr>
          <w:rFonts w:eastAsia="Times New Roman"/>
          <w:color w:val="000000"/>
          <w:sz w:val="24"/>
          <w:szCs w:val="24"/>
        </w:rPr>
        <w:t xml:space="preserve">the </w:t>
      </w:r>
      <w:r w:rsidR="00F432DA">
        <w:rPr>
          <w:rFonts w:eastAsia="Times New Roman"/>
          <w:color w:val="000000"/>
          <w:sz w:val="24"/>
          <w:szCs w:val="24"/>
        </w:rPr>
        <w:t xml:space="preserve">New Phase 1 </w:t>
      </w:r>
      <w:r w:rsidRPr="009436A1">
        <w:rPr>
          <w:rFonts w:eastAsia="Times New Roman"/>
          <w:color w:val="000000"/>
          <w:sz w:val="24"/>
          <w:szCs w:val="24"/>
        </w:rPr>
        <w:t>Redeveloper proposes to develop, finance and construct on the Property a project consisting</w:t>
      </w:r>
      <w:r w:rsidRPr="009436A1">
        <w:rPr>
          <w:sz w:val="24"/>
          <w:szCs w:val="24"/>
        </w:rPr>
        <w:t xml:space="preserve"> </w:t>
      </w:r>
      <w:r w:rsidR="00BB4A25">
        <w:rPr>
          <w:sz w:val="24"/>
          <w:szCs w:val="24"/>
        </w:rPr>
        <w:t>of</w:t>
      </w:r>
      <w:r w:rsidR="00A47A5B">
        <w:rPr>
          <w:rFonts w:eastAsia="Times New Roman"/>
          <w:color w:val="000000"/>
          <w:sz w:val="24"/>
          <w:szCs w:val="24"/>
        </w:rPr>
        <w:t xml:space="preserve"> one (1) 49-story </w:t>
      </w:r>
      <w:r w:rsidRPr="006145F4" w:rsidR="00A47A5B">
        <w:rPr>
          <w:rFonts w:eastAsia="Times New Roman"/>
          <w:color w:val="000000"/>
          <w:sz w:val="24"/>
          <w:szCs w:val="24"/>
        </w:rPr>
        <w:t>high rise tower</w:t>
      </w:r>
      <w:r w:rsidR="00A47A5B">
        <w:rPr>
          <w:rFonts w:eastAsia="Times New Roman"/>
          <w:color w:val="000000"/>
          <w:sz w:val="24"/>
          <w:szCs w:val="24"/>
        </w:rPr>
        <w:t xml:space="preserve"> </w:t>
      </w:r>
      <w:r w:rsidRPr="006145F4" w:rsidR="00F922FF">
        <w:rPr>
          <w:rFonts w:eastAsia="Times New Roman"/>
          <w:color w:val="000000"/>
          <w:sz w:val="24"/>
          <w:szCs w:val="24"/>
        </w:rPr>
        <w:t>(the “</w:t>
      </w:r>
      <w:r w:rsidRPr="006145F4" w:rsidR="00F922FF">
        <w:rPr>
          <w:rFonts w:eastAsia="Times New Roman"/>
          <w:b/>
          <w:bCs/>
          <w:color w:val="000000"/>
          <w:sz w:val="24"/>
          <w:szCs w:val="24"/>
        </w:rPr>
        <w:t>South Tower</w:t>
      </w:r>
      <w:r w:rsidR="00F922FF">
        <w:rPr>
          <w:rFonts w:eastAsia="Times New Roman"/>
          <w:color w:val="000000"/>
          <w:sz w:val="24"/>
          <w:szCs w:val="24"/>
        </w:rPr>
        <w:t>” or “</w:t>
      </w:r>
      <w:r w:rsidRPr="006145F4" w:rsidR="00F922FF">
        <w:rPr>
          <w:rFonts w:eastAsia="Times New Roman"/>
          <w:b/>
          <w:bCs/>
          <w:color w:val="000000"/>
          <w:sz w:val="24"/>
          <w:szCs w:val="24"/>
        </w:rPr>
        <w:t>Building 1</w:t>
      </w:r>
      <w:r w:rsidR="00F922FF">
        <w:rPr>
          <w:rFonts w:eastAsia="Times New Roman"/>
          <w:color w:val="000000"/>
          <w:sz w:val="24"/>
          <w:szCs w:val="24"/>
        </w:rPr>
        <w:t xml:space="preserve">” </w:t>
      </w:r>
      <w:bookmarkStart w:id="1" w:name="_Hlk129701426"/>
      <w:r w:rsidR="00F922FF">
        <w:rPr>
          <w:rFonts w:eastAsia="Times New Roman"/>
          <w:color w:val="000000"/>
          <w:sz w:val="24"/>
          <w:szCs w:val="24"/>
        </w:rPr>
        <w:t>as identified in the Redevelopment Plan</w:t>
      </w:r>
      <w:bookmarkEnd w:id="1"/>
      <w:r w:rsidRPr="006145F4" w:rsidR="00F922FF">
        <w:rPr>
          <w:rFonts w:eastAsia="Times New Roman"/>
          <w:color w:val="000000"/>
          <w:sz w:val="24"/>
          <w:szCs w:val="24"/>
        </w:rPr>
        <w:t>)</w:t>
      </w:r>
      <w:r w:rsidR="00F922FF">
        <w:rPr>
          <w:rFonts w:eastAsia="Times New Roman"/>
          <w:color w:val="000000"/>
          <w:sz w:val="24"/>
          <w:szCs w:val="24"/>
        </w:rPr>
        <w:t xml:space="preserve"> </w:t>
      </w:r>
      <w:r w:rsidRPr="006145F4" w:rsidR="00A47A5B">
        <w:rPr>
          <w:rFonts w:eastAsia="Times New Roman"/>
          <w:color w:val="000000"/>
          <w:sz w:val="24"/>
          <w:szCs w:val="24"/>
        </w:rPr>
        <w:t>to be constructed on the southerly portion of the Property</w:t>
      </w:r>
      <w:r w:rsidR="00A47A5B">
        <w:rPr>
          <w:rFonts w:eastAsia="Times New Roman"/>
          <w:color w:val="000000"/>
          <w:sz w:val="24"/>
          <w:szCs w:val="24"/>
        </w:rPr>
        <w:t xml:space="preserve"> </w:t>
      </w:r>
      <w:r w:rsidRPr="006145F4" w:rsidR="00A47A5B">
        <w:rPr>
          <w:rFonts w:eastAsia="Times New Roman"/>
          <w:color w:val="000000"/>
          <w:sz w:val="24"/>
          <w:szCs w:val="24"/>
        </w:rPr>
        <w:t>immediately adjacent to the Loading Dock</w:t>
      </w:r>
      <w:r w:rsidR="00A47A5B">
        <w:rPr>
          <w:rFonts w:eastAsia="Times New Roman"/>
          <w:color w:val="000000"/>
          <w:sz w:val="24"/>
          <w:szCs w:val="24"/>
        </w:rPr>
        <w:t xml:space="preserve"> A</w:t>
      </w:r>
      <w:r w:rsidRPr="006145F4" w:rsidR="00A47A5B">
        <w:rPr>
          <w:rFonts w:eastAsia="Times New Roman"/>
          <w:color w:val="000000"/>
          <w:sz w:val="24"/>
          <w:szCs w:val="24"/>
        </w:rPr>
        <w:t>rea</w:t>
      </w:r>
      <w:r w:rsidR="00A47A5B">
        <w:rPr>
          <w:rFonts w:eastAsia="Times New Roman"/>
          <w:color w:val="000000"/>
          <w:sz w:val="24"/>
          <w:szCs w:val="24"/>
        </w:rPr>
        <w:t xml:space="preserve">, </w:t>
      </w:r>
      <w:r w:rsidRPr="006145F4" w:rsidR="00A47A5B">
        <w:rPr>
          <w:rFonts w:eastAsia="Times New Roman"/>
          <w:color w:val="000000"/>
          <w:sz w:val="24"/>
          <w:szCs w:val="24"/>
        </w:rPr>
        <w:t xml:space="preserve">containing </w:t>
      </w:r>
      <w:r w:rsidR="00A47A5B">
        <w:rPr>
          <w:rFonts w:eastAsia="Times New Roman"/>
          <w:color w:val="000000"/>
          <w:sz w:val="24"/>
          <w:szCs w:val="24"/>
        </w:rPr>
        <w:t>565-625</w:t>
      </w:r>
      <w:r w:rsidRPr="006145F4" w:rsidR="00A47A5B">
        <w:rPr>
          <w:rFonts w:eastAsia="Times New Roman"/>
          <w:color w:val="000000"/>
          <w:sz w:val="24"/>
          <w:szCs w:val="24"/>
        </w:rPr>
        <w:t xml:space="preserve"> market rate residential rental units, </w:t>
      </w:r>
      <w:bookmarkStart w:id="2" w:name="_Hlk104974597"/>
      <w:r w:rsidR="00A47A5B">
        <w:rPr>
          <w:rFonts w:eastAsia="Times New Roman"/>
          <w:color w:val="000000"/>
          <w:sz w:val="24"/>
          <w:szCs w:val="24"/>
        </w:rPr>
        <w:t xml:space="preserve">2,542-2,810 </w:t>
      </w:r>
      <w:r w:rsidRPr="006145F4" w:rsidR="00A47A5B">
        <w:rPr>
          <w:rFonts w:eastAsia="Times New Roman"/>
          <w:color w:val="000000"/>
          <w:sz w:val="24"/>
          <w:szCs w:val="24"/>
        </w:rPr>
        <w:t xml:space="preserve">square feet of </w:t>
      </w:r>
      <w:r w:rsidR="00A47A5B">
        <w:rPr>
          <w:rFonts w:eastAsia="Times New Roman"/>
          <w:color w:val="000000"/>
          <w:sz w:val="24"/>
          <w:szCs w:val="24"/>
        </w:rPr>
        <w:t xml:space="preserve">ground floor </w:t>
      </w:r>
      <w:r w:rsidRPr="006145F4" w:rsidR="00A47A5B">
        <w:rPr>
          <w:rFonts w:eastAsia="Times New Roman"/>
          <w:color w:val="000000"/>
          <w:sz w:val="24"/>
          <w:szCs w:val="24"/>
        </w:rPr>
        <w:t xml:space="preserve">café space, </w:t>
      </w:r>
      <w:r w:rsidR="00A47A5B">
        <w:rPr>
          <w:rFonts w:eastAsia="Times New Roman"/>
          <w:color w:val="000000"/>
          <w:sz w:val="24"/>
          <w:szCs w:val="24"/>
        </w:rPr>
        <w:t>232-256</w:t>
      </w:r>
      <w:r w:rsidRPr="006145F4" w:rsidR="00A47A5B">
        <w:rPr>
          <w:rFonts w:eastAsia="Times New Roman"/>
          <w:color w:val="000000"/>
          <w:sz w:val="24"/>
          <w:szCs w:val="24"/>
        </w:rPr>
        <w:t xml:space="preserve"> parking</w:t>
      </w:r>
      <w:r w:rsidR="00A47A5B">
        <w:rPr>
          <w:rFonts w:eastAsia="Times New Roman"/>
          <w:color w:val="000000"/>
          <w:sz w:val="24"/>
          <w:szCs w:val="24"/>
        </w:rPr>
        <w:t xml:space="preserve"> </w:t>
      </w:r>
      <w:r w:rsidRPr="006145F4" w:rsidR="00A47A5B">
        <w:rPr>
          <w:rFonts w:eastAsia="Times New Roman"/>
          <w:color w:val="000000"/>
          <w:sz w:val="24"/>
          <w:szCs w:val="24"/>
        </w:rPr>
        <w:t>spaces</w:t>
      </w:r>
      <w:r w:rsidR="00A47A5B">
        <w:rPr>
          <w:rFonts w:eastAsia="Times New Roman"/>
          <w:color w:val="000000"/>
          <w:sz w:val="24"/>
          <w:szCs w:val="24"/>
        </w:rPr>
        <w:t xml:space="preserve"> of the Parking Garage</w:t>
      </w:r>
      <w:r w:rsidRPr="006145F4" w:rsidR="00A47A5B">
        <w:rPr>
          <w:rFonts w:eastAsia="Times New Roman"/>
          <w:color w:val="000000"/>
          <w:sz w:val="24"/>
          <w:szCs w:val="24"/>
        </w:rPr>
        <w:t xml:space="preserve">, </w:t>
      </w:r>
      <w:r w:rsidR="00A47A5B">
        <w:rPr>
          <w:rFonts w:eastAsia="Times New Roman"/>
          <w:color w:val="000000"/>
          <w:sz w:val="24"/>
          <w:szCs w:val="24"/>
        </w:rPr>
        <w:t>and a separate</w:t>
      </w:r>
      <w:r w:rsidRPr="004A0F4F" w:rsidR="00A47A5B">
        <w:rPr>
          <w:rFonts w:eastAsia="Times New Roman"/>
          <w:color w:val="000000"/>
          <w:sz w:val="24"/>
          <w:szCs w:val="24"/>
        </w:rPr>
        <w:t xml:space="preserve"> </w:t>
      </w:r>
      <w:r w:rsidRPr="006145F4" w:rsidR="00A47A5B">
        <w:rPr>
          <w:rFonts w:eastAsia="Times New Roman"/>
          <w:color w:val="000000"/>
          <w:sz w:val="24"/>
          <w:szCs w:val="24"/>
        </w:rPr>
        <w:t>one (1) story building</w:t>
      </w:r>
      <w:r w:rsidR="00A47A5B">
        <w:rPr>
          <w:rFonts w:eastAsia="Times New Roman"/>
          <w:color w:val="000000"/>
          <w:sz w:val="24"/>
          <w:szCs w:val="24"/>
        </w:rPr>
        <w:t xml:space="preserve"> connected to Building 1 by a sky walk </w:t>
      </w:r>
      <w:r w:rsidRPr="006145F4" w:rsidR="00A47A5B">
        <w:rPr>
          <w:rFonts w:eastAsia="Times New Roman"/>
          <w:color w:val="000000"/>
          <w:sz w:val="24"/>
          <w:szCs w:val="24"/>
        </w:rPr>
        <w:t>containing</w:t>
      </w:r>
      <w:r w:rsidR="00A47A5B">
        <w:rPr>
          <w:rFonts w:eastAsia="Times New Roman"/>
          <w:color w:val="000000"/>
          <w:sz w:val="24"/>
          <w:szCs w:val="24"/>
        </w:rPr>
        <w:t xml:space="preserve"> 3,342-3,694</w:t>
      </w:r>
      <w:r w:rsidRPr="006145F4" w:rsidR="00A47A5B">
        <w:rPr>
          <w:rFonts w:eastAsia="Times New Roman"/>
          <w:color w:val="000000"/>
          <w:sz w:val="24"/>
          <w:szCs w:val="24"/>
        </w:rPr>
        <w:t xml:space="preserve"> square f</w:t>
      </w:r>
      <w:r w:rsidR="00A47A5B">
        <w:rPr>
          <w:rFonts w:eastAsia="Times New Roman"/>
          <w:color w:val="000000"/>
          <w:sz w:val="24"/>
          <w:szCs w:val="24"/>
        </w:rPr>
        <w:t>ee</w:t>
      </w:r>
      <w:r w:rsidRPr="006145F4" w:rsidR="00A47A5B">
        <w:rPr>
          <w:rFonts w:eastAsia="Times New Roman"/>
          <w:color w:val="000000"/>
          <w:sz w:val="24"/>
          <w:szCs w:val="24"/>
        </w:rPr>
        <w:t>t</w:t>
      </w:r>
      <w:r w:rsidR="00A47A5B">
        <w:rPr>
          <w:rFonts w:eastAsia="Times New Roman"/>
          <w:color w:val="000000"/>
          <w:sz w:val="24"/>
          <w:szCs w:val="24"/>
        </w:rPr>
        <w:t xml:space="preserve"> of</w:t>
      </w:r>
      <w:r w:rsidRPr="006145F4" w:rsidR="00A47A5B">
        <w:rPr>
          <w:rFonts w:eastAsia="Times New Roman"/>
          <w:color w:val="000000"/>
          <w:sz w:val="24"/>
          <w:szCs w:val="24"/>
        </w:rPr>
        <w:t xml:space="preserve"> galler</w:t>
      </w:r>
      <w:r w:rsidR="00A47A5B">
        <w:rPr>
          <w:rFonts w:eastAsia="Times New Roman"/>
          <w:color w:val="000000"/>
          <w:sz w:val="24"/>
          <w:szCs w:val="24"/>
        </w:rPr>
        <w:t xml:space="preserve">y and </w:t>
      </w:r>
      <w:r w:rsidRPr="006145F4" w:rsidR="00A47A5B">
        <w:rPr>
          <w:rFonts w:eastAsia="Times New Roman"/>
          <w:color w:val="000000"/>
          <w:sz w:val="24"/>
          <w:szCs w:val="24"/>
        </w:rPr>
        <w:t>café</w:t>
      </w:r>
      <w:r w:rsidR="00A47A5B">
        <w:rPr>
          <w:rFonts w:eastAsia="Times New Roman"/>
          <w:color w:val="000000"/>
          <w:sz w:val="24"/>
          <w:szCs w:val="24"/>
        </w:rPr>
        <w:t xml:space="preserve"> space, and </w:t>
      </w:r>
      <w:r w:rsidRPr="00D77ED9" w:rsidR="00A47A5B">
        <w:rPr>
          <w:rFonts w:eastAsia="Times New Roman"/>
          <w:color w:val="000000"/>
          <w:sz w:val="24"/>
          <w:szCs w:val="24"/>
        </w:rPr>
        <w:t>amenities</w:t>
      </w:r>
      <w:r w:rsidR="00A47A5B">
        <w:rPr>
          <w:rFonts w:eastAsia="Times New Roman"/>
          <w:color w:val="000000"/>
          <w:sz w:val="24"/>
          <w:szCs w:val="24"/>
        </w:rPr>
        <w:t xml:space="preserve"> </w:t>
      </w:r>
      <w:r w:rsidRPr="00D77ED9" w:rsidR="00A47A5B">
        <w:rPr>
          <w:rFonts w:eastAsia="Times New Roman"/>
          <w:color w:val="000000"/>
          <w:sz w:val="24"/>
          <w:szCs w:val="24"/>
        </w:rPr>
        <w:t>including a sundeck and</w:t>
      </w:r>
      <w:r w:rsidR="00A47A5B">
        <w:rPr>
          <w:rFonts w:eastAsia="Times New Roman"/>
          <w:color w:val="000000"/>
          <w:sz w:val="24"/>
          <w:szCs w:val="24"/>
        </w:rPr>
        <w:t xml:space="preserve"> </w:t>
      </w:r>
      <w:r w:rsidRPr="00D77ED9" w:rsidR="00A47A5B">
        <w:rPr>
          <w:rFonts w:eastAsia="Times New Roman"/>
          <w:color w:val="000000"/>
          <w:sz w:val="24"/>
          <w:szCs w:val="24"/>
        </w:rPr>
        <w:t xml:space="preserve">outdoor pool for </w:t>
      </w:r>
      <w:r w:rsidR="00A47A5B">
        <w:rPr>
          <w:rFonts w:eastAsia="Times New Roman"/>
          <w:color w:val="000000"/>
          <w:sz w:val="24"/>
          <w:szCs w:val="24"/>
        </w:rPr>
        <w:t>building residents</w:t>
      </w:r>
      <w:bookmarkEnd w:id="2"/>
      <w:r w:rsidR="00F922FF">
        <w:rPr>
          <w:rFonts w:eastAsia="Times New Roman"/>
          <w:color w:val="000000"/>
          <w:sz w:val="24"/>
          <w:szCs w:val="24"/>
        </w:rPr>
        <w:t xml:space="preserve"> (“</w:t>
      </w:r>
      <w:r w:rsidRPr="006145F4" w:rsidR="00F922FF">
        <w:rPr>
          <w:rFonts w:eastAsia="Times New Roman"/>
          <w:b/>
          <w:bCs/>
          <w:color w:val="000000"/>
          <w:sz w:val="24"/>
          <w:szCs w:val="24"/>
        </w:rPr>
        <w:t xml:space="preserve">Building </w:t>
      </w:r>
      <w:r w:rsidR="00F922FF">
        <w:rPr>
          <w:rFonts w:eastAsia="Times New Roman"/>
          <w:b/>
          <w:bCs/>
          <w:color w:val="000000"/>
          <w:sz w:val="24"/>
          <w:szCs w:val="24"/>
        </w:rPr>
        <w:t>2</w:t>
      </w:r>
      <w:r w:rsidR="00F922FF">
        <w:rPr>
          <w:rFonts w:eastAsia="Times New Roman"/>
          <w:color w:val="000000"/>
          <w:sz w:val="24"/>
          <w:szCs w:val="24"/>
        </w:rPr>
        <w:t>” as identified in the Redevelopment Plan</w:t>
      </w:r>
      <w:r w:rsidRPr="006145F4" w:rsidR="00F922FF">
        <w:rPr>
          <w:rFonts w:eastAsia="Times New Roman"/>
          <w:color w:val="000000"/>
          <w:sz w:val="24"/>
          <w:szCs w:val="24"/>
        </w:rPr>
        <w:t>)</w:t>
      </w:r>
      <w:r w:rsidR="00A47A5B">
        <w:rPr>
          <w:rFonts w:eastAsia="Times New Roman"/>
          <w:color w:val="000000"/>
          <w:sz w:val="24"/>
          <w:szCs w:val="24"/>
        </w:rPr>
        <w:t xml:space="preserve">, </w:t>
      </w:r>
      <w:r w:rsidRPr="006145F4" w:rsidR="00A47A5B">
        <w:rPr>
          <w:rFonts w:eastAsia="Times New Roman"/>
          <w:color w:val="000000"/>
          <w:sz w:val="24"/>
          <w:szCs w:val="24"/>
        </w:rPr>
        <w:t>improved public</w:t>
      </w:r>
      <w:r w:rsidR="00A47A5B">
        <w:rPr>
          <w:rFonts w:eastAsia="Times New Roman"/>
          <w:color w:val="000000"/>
          <w:sz w:val="24"/>
          <w:szCs w:val="24"/>
        </w:rPr>
        <w:t>l</w:t>
      </w:r>
      <w:r w:rsidRPr="006145F4" w:rsidR="00A47A5B">
        <w:rPr>
          <w:rFonts w:eastAsia="Times New Roman"/>
          <w:color w:val="000000"/>
          <w:sz w:val="24"/>
          <w:szCs w:val="24"/>
        </w:rPr>
        <w:t>y accessible open space,</w:t>
      </w:r>
      <w:r w:rsidR="00A47A5B">
        <w:rPr>
          <w:rFonts w:eastAsia="Times New Roman"/>
          <w:color w:val="000000"/>
          <w:sz w:val="24"/>
          <w:szCs w:val="24"/>
        </w:rPr>
        <w:t xml:space="preserve"> plazas and walkways,</w:t>
      </w:r>
      <w:r w:rsidRPr="006145F4" w:rsidR="00A47A5B">
        <w:rPr>
          <w:rFonts w:eastAsia="Times New Roman"/>
          <w:color w:val="000000"/>
          <w:sz w:val="24"/>
          <w:szCs w:val="24"/>
        </w:rPr>
        <w:t xml:space="preserve"> a turnaround/drop off area servicing the</w:t>
      </w:r>
      <w:r w:rsidR="00A47A5B">
        <w:rPr>
          <w:rFonts w:eastAsia="Times New Roman"/>
          <w:color w:val="000000"/>
          <w:sz w:val="24"/>
          <w:szCs w:val="24"/>
        </w:rPr>
        <w:t xml:space="preserve"> </w:t>
      </w:r>
      <w:r w:rsidRPr="006145F4" w:rsidR="00A47A5B">
        <w:rPr>
          <w:rFonts w:eastAsia="Times New Roman"/>
          <w:color w:val="000000"/>
          <w:sz w:val="24"/>
          <w:szCs w:val="24"/>
        </w:rPr>
        <w:t>South Tower</w:t>
      </w:r>
      <w:r w:rsidR="00A47A5B">
        <w:rPr>
          <w:rFonts w:eastAsia="Times New Roman"/>
          <w:color w:val="000000"/>
          <w:sz w:val="24"/>
          <w:szCs w:val="24"/>
        </w:rPr>
        <w:t>, improvements to the walkway adjacent to the Loew’s Theat</w:t>
      </w:r>
      <w:r w:rsidR="00F922FF">
        <w:rPr>
          <w:rFonts w:eastAsia="Times New Roman"/>
          <w:color w:val="000000"/>
          <w:sz w:val="24"/>
          <w:szCs w:val="24"/>
        </w:rPr>
        <w:t>re</w:t>
      </w:r>
      <w:r w:rsidR="00A47A5B">
        <w:rPr>
          <w:rFonts w:eastAsia="Times New Roman"/>
          <w:color w:val="000000"/>
          <w:sz w:val="24"/>
          <w:szCs w:val="24"/>
        </w:rPr>
        <w:t xml:space="preserve"> </w:t>
      </w:r>
      <w:r w:rsidR="00A47A5B">
        <w:rPr>
          <w:rFonts w:eastAsia="Times New Roman"/>
          <w:sz w:val="24"/>
          <w:szCs w:val="24"/>
        </w:rPr>
        <w:t>beginning at John F. Kennedy Boulevard and terminating at the foot of Magnolia Street</w:t>
      </w:r>
      <w:r w:rsidR="00F922FF">
        <w:rPr>
          <w:rFonts w:eastAsia="Times New Roman"/>
          <w:sz w:val="24"/>
          <w:szCs w:val="24"/>
        </w:rPr>
        <w:t xml:space="preserve"> (“</w:t>
      </w:r>
      <w:r w:rsidR="00F922FF">
        <w:rPr>
          <w:rFonts w:eastAsia="Times New Roman"/>
          <w:b/>
          <w:bCs/>
          <w:sz w:val="24"/>
          <w:szCs w:val="24"/>
        </w:rPr>
        <w:t>Concourse West</w:t>
      </w:r>
      <w:r w:rsidR="00F922FF">
        <w:rPr>
          <w:rFonts w:eastAsia="Times New Roman"/>
          <w:sz w:val="24"/>
          <w:szCs w:val="24"/>
        </w:rPr>
        <w:t>”)</w:t>
      </w:r>
      <w:r w:rsidR="00A47A5B">
        <w:rPr>
          <w:rFonts w:eastAsia="Times New Roman"/>
          <w:sz w:val="24"/>
          <w:szCs w:val="24"/>
        </w:rPr>
        <w:t xml:space="preserve">, improvements to the plaza </w:t>
      </w:r>
      <w:r w:rsidRPr="00B33D11" w:rsidR="00A47A5B">
        <w:rPr>
          <w:rFonts w:eastAsia="Times New Roman"/>
          <w:sz w:val="24"/>
          <w:szCs w:val="24"/>
        </w:rPr>
        <w:t>which connects Concourse West/Gloria Esposito Way to Magnolia Street</w:t>
      </w:r>
      <w:r w:rsidRPr="00B33D11" w:rsidR="00A47A5B">
        <w:rPr>
          <w:rFonts w:eastAsia="Times New Roman"/>
          <w:sz w:val="24"/>
          <w:szCs w:val="24"/>
          <w:lang w:val="x-none"/>
        </w:rPr>
        <w:t xml:space="preserve"> utilizing </w:t>
      </w:r>
      <w:r w:rsidRPr="002C0F39" w:rsidR="00A47A5B">
        <w:rPr>
          <w:rFonts w:eastAsia="Times New Roman"/>
          <w:sz w:val="24"/>
          <w:szCs w:val="24"/>
          <w:lang w:val="x-none"/>
        </w:rPr>
        <w:t>approximately 60 feet</w:t>
      </w:r>
      <w:r w:rsidRPr="00B33D11" w:rsidR="00A47A5B">
        <w:rPr>
          <w:rFonts w:eastAsia="Times New Roman"/>
          <w:sz w:val="24"/>
          <w:szCs w:val="24"/>
          <w:lang w:val="x-none"/>
        </w:rPr>
        <w:t xml:space="preserve"> of the Magnolia Street right-of-way</w:t>
      </w:r>
      <w:r w:rsidR="00F922FF">
        <w:rPr>
          <w:rFonts w:eastAsia="Times New Roman"/>
          <w:sz w:val="24"/>
          <w:szCs w:val="24"/>
        </w:rPr>
        <w:t xml:space="preserve"> </w:t>
      </w:r>
      <w:r w:rsidRPr="00B33D11" w:rsidR="00F922FF">
        <w:rPr>
          <w:rFonts w:eastAsia="Times New Roman"/>
          <w:sz w:val="24"/>
          <w:szCs w:val="24"/>
        </w:rPr>
        <w:t>(the “</w:t>
      </w:r>
      <w:r w:rsidRPr="00B33D11" w:rsidR="00F922FF">
        <w:rPr>
          <w:rFonts w:eastAsia="Times New Roman"/>
          <w:b/>
          <w:bCs/>
          <w:sz w:val="24"/>
          <w:szCs w:val="24"/>
        </w:rPr>
        <w:t>Magnolia Street Plaza</w:t>
      </w:r>
      <w:r w:rsidRPr="00B33D11" w:rsidR="00F922FF">
        <w:rPr>
          <w:rFonts w:eastAsia="Times New Roman"/>
          <w:sz w:val="24"/>
          <w:szCs w:val="24"/>
        </w:rPr>
        <w:t>”)</w:t>
      </w:r>
      <w:r w:rsidR="00A47A5B">
        <w:rPr>
          <w:rFonts w:eastAsia="Times New Roman"/>
          <w:sz w:val="24"/>
          <w:szCs w:val="24"/>
        </w:rPr>
        <w:t xml:space="preserve">, construction of a segment of </w:t>
      </w:r>
      <w:r w:rsidRPr="00EB432F" w:rsidR="00A47A5B">
        <w:rPr>
          <w:rFonts w:eastAsia="Times New Roman"/>
          <w:sz w:val="24"/>
          <w:szCs w:val="24"/>
        </w:rPr>
        <w:t>the Pavonia-Van Reipen Connector</w:t>
      </w:r>
      <w:r w:rsidR="00A47A5B">
        <w:rPr>
          <w:rFonts w:eastAsia="Times New Roman"/>
          <w:sz w:val="24"/>
          <w:szCs w:val="24"/>
        </w:rPr>
        <w:t xml:space="preserve">, construction of </w:t>
      </w:r>
      <w:r w:rsidR="00A47A5B">
        <w:rPr>
          <w:rFonts w:eastAsia="Times New Roman"/>
          <w:color w:val="000000"/>
          <w:sz w:val="24"/>
          <w:szCs w:val="24"/>
        </w:rPr>
        <w:t xml:space="preserve">the </w:t>
      </w:r>
      <w:r w:rsidRPr="005F0387" w:rsidR="00A47A5B">
        <w:rPr>
          <w:rFonts w:eastAsia="Times New Roman"/>
          <w:sz w:val="24"/>
          <w:szCs w:val="24"/>
        </w:rPr>
        <w:t>PATH Access Corridor</w:t>
      </w:r>
      <w:r w:rsidR="00A47A5B">
        <w:rPr>
          <w:rFonts w:eastAsia="Times New Roman"/>
          <w:sz w:val="24"/>
          <w:szCs w:val="24"/>
        </w:rPr>
        <w:t xml:space="preserve"> (as defined herein), and </w:t>
      </w:r>
      <w:r w:rsidR="00F922FF">
        <w:rPr>
          <w:rFonts w:eastAsia="Times New Roman"/>
          <w:sz w:val="24"/>
          <w:szCs w:val="24"/>
        </w:rPr>
        <w:t xml:space="preserve">the </w:t>
      </w:r>
      <w:r w:rsidR="00A47A5B">
        <w:rPr>
          <w:rFonts w:eastAsia="Times New Roman"/>
          <w:sz w:val="24"/>
          <w:szCs w:val="24"/>
        </w:rPr>
        <w:t>subdivision, conveyance, clearance and grading of the Loading Dock Area</w:t>
      </w:r>
      <w:r w:rsidR="00CA048D">
        <w:rPr>
          <w:rFonts w:eastAsia="Times New Roman"/>
          <w:sz w:val="24"/>
          <w:szCs w:val="24"/>
        </w:rPr>
        <w:t xml:space="preserve"> (the “</w:t>
      </w:r>
      <w:r w:rsidRPr="00CA048D" w:rsidR="00CA048D">
        <w:rPr>
          <w:rFonts w:eastAsia="Times New Roman"/>
          <w:b/>
          <w:bCs/>
          <w:sz w:val="24"/>
          <w:szCs w:val="24"/>
        </w:rPr>
        <w:t>Phase 1 Project</w:t>
      </w:r>
      <w:r w:rsidR="00CA048D">
        <w:rPr>
          <w:rFonts w:eastAsia="Times New Roman"/>
          <w:sz w:val="24"/>
          <w:szCs w:val="24"/>
        </w:rPr>
        <w:t>”)</w:t>
      </w:r>
      <w:r w:rsidR="00A47A5B">
        <w:rPr>
          <w:rFonts w:eastAsia="Times New Roman"/>
          <w:sz w:val="24"/>
          <w:szCs w:val="24"/>
        </w:rPr>
        <w:t xml:space="preserve">; and </w:t>
      </w:r>
    </w:p>
    <w:p w:rsidR="00F922FF" w:rsidP="003D2FC5" w14:paraId="326EF25B" w14:textId="1FF01299">
      <w:pPr>
        <w:spacing w:line="264" w:lineRule="exact"/>
        <w:ind w:left="72" w:firstLine="720"/>
        <w:jc w:val="both"/>
        <w:textAlignment w:val="baseline"/>
        <w:rPr>
          <w:rFonts w:eastAsia="Times New Roman"/>
          <w:sz w:val="24"/>
          <w:szCs w:val="24"/>
        </w:rPr>
      </w:pPr>
    </w:p>
    <w:p w:rsidR="00F922FF" w:rsidP="00F922FF" w14:paraId="1DA7791B" w14:textId="77777777">
      <w:pPr>
        <w:autoSpaceDE w:val="0"/>
        <w:autoSpaceDN w:val="0"/>
        <w:adjustRightInd w:val="0"/>
        <w:ind w:firstLine="720"/>
        <w:jc w:val="both"/>
        <w:rPr>
          <w:rFonts w:eastAsia="Times New Roman"/>
          <w:color w:val="000000"/>
          <w:sz w:val="24"/>
          <w:szCs w:val="24"/>
        </w:rPr>
      </w:pPr>
      <w:r w:rsidRPr="00D30F9A">
        <w:rPr>
          <w:b/>
          <w:sz w:val="24"/>
          <w:szCs w:val="24"/>
        </w:rPr>
        <w:t>WHEREAS</w:t>
      </w:r>
      <w:r>
        <w:rPr>
          <w:sz w:val="24"/>
          <w:szCs w:val="24"/>
        </w:rPr>
        <w:t>, as part of the Project, the Original Redeveloper proposed to convey no less than 6,400 square feet of land (the “</w:t>
      </w:r>
      <w:r w:rsidRPr="00AF65AF">
        <w:rPr>
          <w:b/>
          <w:bCs/>
          <w:sz w:val="24"/>
          <w:szCs w:val="24"/>
        </w:rPr>
        <w:t>Loading Dock Area</w:t>
      </w:r>
      <w:r>
        <w:rPr>
          <w:sz w:val="24"/>
          <w:szCs w:val="24"/>
        </w:rPr>
        <w:t xml:space="preserve">”) on the </w:t>
      </w:r>
      <w:r w:rsidRPr="006145F4">
        <w:rPr>
          <w:rFonts w:eastAsia="Times New Roman"/>
          <w:color w:val="000000"/>
          <w:sz w:val="24"/>
          <w:szCs w:val="24"/>
        </w:rPr>
        <w:t>southerly portion</w:t>
      </w:r>
      <w:r>
        <w:rPr>
          <w:rFonts w:eastAsia="Times New Roman"/>
          <w:color w:val="000000"/>
          <w:sz w:val="24"/>
          <w:szCs w:val="24"/>
        </w:rPr>
        <w:t xml:space="preserve"> of Lot 39</w:t>
      </w:r>
      <w:r w:rsidRPr="006145F4">
        <w:rPr>
          <w:rFonts w:eastAsia="Times New Roman"/>
          <w:color w:val="000000"/>
          <w:sz w:val="24"/>
          <w:szCs w:val="24"/>
        </w:rPr>
        <w:t xml:space="preserve"> of the Property</w:t>
      </w:r>
      <w:r>
        <w:rPr>
          <w:rFonts w:eastAsia="Times New Roman"/>
          <w:color w:val="000000"/>
          <w:sz w:val="24"/>
          <w:szCs w:val="24"/>
        </w:rPr>
        <w:t xml:space="preserve"> immediately adjacent to </w:t>
      </w:r>
      <w:r w:rsidRPr="007B559B">
        <w:rPr>
          <w:rFonts w:eastAsia="Times New Roman"/>
          <w:sz w:val="24"/>
          <w:szCs w:val="24"/>
        </w:rPr>
        <w:t xml:space="preserve">property </w:t>
      </w:r>
      <w:r>
        <w:rPr>
          <w:rFonts w:eastAsia="Times New Roman"/>
          <w:sz w:val="24"/>
          <w:szCs w:val="24"/>
        </w:rPr>
        <w:t>identified as</w:t>
      </w:r>
      <w:r w:rsidRPr="007B559B">
        <w:rPr>
          <w:rFonts w:eastAsia="Times New Roman"/>
          <w:sz w:val="24"/>
          <w:szCs w:val="24"/>
        </w:rPr>
        <w:t xml:space="preserve"> Block 10601, Lot 41 on the official tax maps of the City</w:t>
      </w:r>
      <w:r>
        <w:rPr>
          <w:rFonts w:eastAsia="Times New Roman"/>
          <w:color w:val="000000"/>
          <w:sz w:val="24"/>
          <w:szCs w:val="24"/>
        </w:rPr>
        <w:t xml:space="preserve"> (the “</w:t>
      </w:r>
      <w:r w:rsidRPr="00E62AA1">
        <w:rPr>
          <w:rFonts w:eastAsia="Times New Roman"/>
          <w:b/>
          <w:bCs/>
          <w:color w:val="000000"/>
          <w:sz w:val="24"/>
          <w:szCs w:val="24"/>
        </w:rPr>
        <w:t>Loew’s Theat</w:t>
      </w:r>
      <w:r>
        <w:rPr>
          <w:rFonts w:eastAsia="Times New Roman"/>
          <w:b/>
          <w:bCs/>
          <w:color w:val="000000"/>
          <w:sz w:val="24"/>
          <w:szCs w:val="24"/>
        </w:rPr>
        <w:t>re</w:t>
      </w:r>
      <w:r>
        <w:rPr>
          <w:rFonts w:eastAsia="Times New Roman"/>
          <w:color w:val="000000"/>
          <w:sz w:val="24"/>
          <w:szCs w:val="24"/>
        </w:rPr>
        <w:t xml:space="preserve">”) to the Agency in order to enable the City to construct, operate, maintain, repair and replace a loading dock structure to service the Loew’s Theatre; and  </w:t>
      </w:r>
    </w:p>
    <w:p w:rsidR="00F922FF" w:rsidP="00F922FF" w14:paraId="3CDDC31F" w14:textId="77777777">
      <w:pPr>
        <w:autoSpaceDE w:val="0"/>
        <w:autoSpaceDN w:val="0"/>
        <w:adjustRightInd w:val="0"/>
        <w:ind w:firstLine="720"/>
        <w:jc w:val="both"/>
        <w:rPr>
          <w:rFonts w:eastAsia="Times New Roman"/>
          <w:color w:val="000000"/>
          <w:sz w:val="24"/>
          <w:szCs w:val="24"/>
        </w:rPr>
      </w:pPr>
    </w:p>
    <w:p w:rsidR="00F922FF" w:rsidP="00F922FF" w14:paraId="22934C96" w14:textId="52DF48A3">
      <w:pPr>
        <w:autoSpaceDE w:val="0"/>
        <w:autoSpaceDN w:val="0"/>
        <w:adjustRightInd w:val="0"/>
        <w:ind w:firstLine="720"/>
        <w:jc w:val="both"/>
        <w:rPr>
          <w:rFonts w:eastAsia="Times New Roman"/>
          <w:color w:val="000000"/>
          <w:sz w:val="24"/>
          <w:szCs w:val="24"/>
        </w:rPr>
      </w:pPr>
      <w:r w:rsidRPr="00141655">
        <w:rPr>
          <w:rFonts w:eastAsia="Times New Roman"/>
          <w:b/>
          <w:bCs/>
          <w:color w:val="000000"/>
          <w:sz w:val="24"/>
          <w:szCs w:val="24"/>
        </w:rPr>
        <w:t>WHEREAS</w:t>
      </w:r>
      <w:r w:rsidRPr="00141655">
        <w:rPr>
          <w:rFonts w:eastAsia="Times New Roman"/>
          <w:color w:val="000000"/>
          <w:sz w:val="24"/>
          <w:szCs w:val="24"/>
        </w:rPr>
        <w:t xml:space="preserve">, the Subdivision Plan that separates the Loading Dock Area from the </w:t>
      </w:r>
      <w:r>
        <w:rPr>
          <w:rFonts w:eastAsia="Times New Roman"/>
          <w:color w:val="000000"/>
          <w:sz w:val="24"/>
          <w:szCs w:val="24"/>
        </w:rPr>
        <w:t>Property</w:t>
      </w:r>
      <w:r w:rsidRPr="00141655">
        <w:rPr>
          <w:rFonts w:eastAsia="Times New Roman"/>
          <w:color w:val="000000"/>
          <w:sz w:val="24"/>
          <w:szCs w:val="24"/>
        </w:rPr>
        <w:t xml:space="preserve"> has been approved; and </w:t>
      </w:r>
    </w:p>
    <w:p w:rsidR="00CA048D" w:rsidP="009436A1" w14:paraId="2C27C0BA" w14:textId="0C196183">
      <w:pPr>
        <w:spacing w:line="264" w:lineRule="exact"/>
        <w:ind w:left="72" w:firstLine="720"/>
        <w:jc w:val="both"/>
        <w:textAlignment w:val="baseline"/>
        <w:rPr>
          <w:rFonts w:eastAsia="Times New Roman"/>
          <w:sz w:val="24"/>
          <w:szCs w:val="24"/>
        </w:rPr>
      </w:pPr>
    </w:p>
    <w:p w:rsidR="00CA048D" w:rsidP="009436A1" w14:paraId="6129871C" w14:textId="4F1A9FD4">
      <w:pPr>
        <w:spacing w:line="264" w:lineRule="exact"/>
        <w:ind w:left="72" w:firstLine="720"/>
        <w:jc w:val="both"/>
        <w:textAlignment w:val="baseline"/>
        <w:rPr>
          <w:rFonts w:eastAsia="Times New Roman"/>
          <w:sz w:val="24"/>
          <w:szCs w:val="24"/>
        </w:rPr>
      </w:pPr>
      <w:r w:rsidRPr="009436A1">
        <w:rPr>
          <w:rFonts w:eastAsia="Times New Roman"/>
          <w:b/>
          <w:color w:val="000000"/>
          <w:sz w:val="24"/>
          <w:szCs w:val="24"/>
        </w:rPr>
        <w:t>WHEREAS</w:t>
      </w:r>
      <w:r w:rsidRPr="009436A1">
        <w:rPr>
          <w:rFonts w:eastAsia="Times New Roman"/>
          <w:color w:val="000000"/>
          <w:sz w:val="24"/>
          <w:szCs w:val="24"/>
        </w:rPr>
        <w:t xml:space="preserve">, </w:t>
      </w:r>
      <w:r>
        <w:rPr>
          <w:rFonts w:eastAsia="Times New Roman"/>
          <w:color w:val="000000"/>
          <w:sz w:val="24"/>
          <w:szCs w:val="24"/>
        </w:rPr>
        <w:t xml:space="preserve">the New Phase 2 </w:t>
      </w:r>
      <w:r w:rsidRPr="009436A1">
        <w:rPr>
          <w:rFonts w:eastAsia="Times New Roman"/>
          <w:color w:val="000000"/>
          <w:sz w:val="24"/>
          <w:szCs w:val="24"/>
        </w:rPr>
        <w:t>Redeveloper proposes to develop, finance and construct on the Property a project consisting</w:t>
      </w:r>
      <w:r w:rsidRPr="009436A1">
        <w:rPr>
          <w:sz w:val="24"/>
          <w:szCs w:val="24"/>
        </w:rPr>
        <w:t xml:space="preserve"> </w:t>
      </w:r>
      <w:r>
        <w:rPr>
          <w:sz w:val="24"/>
          <w:szCs w:val="24"/>
        </w:rPr>
        <w:t xml:space="preserve">of </w:t>
      </w:r>
      <w:r>
        <w:rPr>
          <w:rFonts w:eastAsia="Times New Roman"/>
          <w:color w:val="000000"/>
          <w:sz w:val="24"/>
          <w:szCs w:val="24"/>
        </w:rPr>
        <w:t xml:space="preserve">one (1) 55-story </w:t>
      </w:r>
      <w:r w:rsidRPr="006145F4">
        <w:rPr>
          <w:rFonts w:eastAsia="Times New Roman"/>
          <w:color w:val="000000"/>
          <w:sz w:val="24"/>
          <w:szCs w:val="24"/>
        </w:rPr>
        <w:t>high rise tower</w:t>
      </w:r>
      <w:r>
        <w:rPr>
          <w:rFonts w:eastAsia="Times New Roman"/>
          <w:color w:val="000000"/>
          <w:sz w:val="24"/>
          <w:szCs w:val="24"/>
        </w:rPr>
        <w:t xml:space="preserve"> </w:t>
      </w:r>
      <w:r w:rsidRPr="006145F4">
        <w:rPr>
          <w:rFonts w:eastAsia="Times New Roman"/>
          <w:color w:val="000000"/>
          <w:sz w:val="24"/>
          <w:szCs w:val="24"/>
        </w:rPr>
        <w:t>to be constructed on the</w:t>
      </w:r>
      <w:r>
        <w:rPr>
          <w:rFonts w:eastAsia="Times New Roman"/>
          <w:color w:val="000000"/>
          <w:sz w:val="24"/>
          <w:szCs w:val="24"/>
        </w:rPr>
        <w:t xml:space="preserve"> northerly portion of the Property</w:t>
      </w:r>
      <w:r w:rsidRPr="00331AE8">
        <w:rPr>
          <w:rFonts w:eastAsia="Times New Roman"/>
          <w:color w:val="000000"/>
          <w:sz w:val="24"/>
          <w:szCs w:val="24"/>
        </w:rPr>
        <w:t xml:space="preserve"> immediately adjacent to Phase 1</w:t>
      </w:r>
      <w:r>
        <w:rPr>
          <w:rFonts w:eastAsia="Times New Roman"/>
          <w:color w:val="000000"/>
          <w:sz w:val="24"/>
          <w:szCs w:val="24"/>
        </w:rPr>
        <w:t xml:space="preserve"> </w:t>
      </w:r>
      <w:r w:rsidR="00F922FF">
        <w:rPr>
          <w:rFonts w:eastAsia="Times New Roman"/>
          <w:color w:val="000000"/>
          <w:sz w:val="24"/>
          <w:szCs w:val="24"/>
        </w:rPr>
        <w:t>(the “</w:t>
      </w:r>
      <w:r w:rsidRPr="00F922FF" w:rsidR="00F922FF">
        <w:rPr>
          <w:rFonts w:eastAsia="Times New Roman"/>
          <w:b/>
          <w:bCs/>
          <w:color w:val="000000"/>
          <w:sz w:val="24"/>
          <w:szCs w:val="24"/>
        </w:rPr>
        <w:t>North Tower</w:t>
      </w:r>
      <w:r w:rsidR="00F922FF">
        <w:rPr>
          <w:rFonts w:eastAsia="Times New Roman"/>
          <w:color w:val="000000"/>
          <w:sz w:val="24"/>
          <w:szCs w:val="24"/>
        </w:rPr>
        <w:t>” or “</w:t>
      </w:r>
      <w:r w:rsidRPr="00F922FF" w:rsidR="00F922FF">
        <w:rPr>
          <w:rFonts w:eastAsia="Times New Roman"/>
          <w:b/>
          <w:bCs/>
          <w:color w:val="000000"/>
          <w:sz w:val="24"/>
          <w:szCs w:val="24"/>
        </w:rPr>
        <w:t>Building 4</w:t>
      </w:r>
      <w:r w:rsidR="00F922FF">
        <w:rPr>
          <w:rFonts w:eastAsia="Times New Roman"/>
          <w:color w:val="000000"/>
          <w:sz w:val="24"/>
          <w:szCs w:val="24"/>
        </w:rPr>
        <w:t>”</w:t>
      </w:r>
      <w:r w:rsidRPr="00F922FF" w:rsidR="00F922FF">
        <w:rPr>
          <w:rFonts w:eastAsia="Times New Roman"/>
          <w:color w:val="000000"/>
          <w:sz w:val="24"/>
          <w:szCs w:val="24"/>
        </w:rPr>
        <w:t xml:space="preserve"> </w:t>
      </w:r>
      <w:r w:rsidR="00F922FF">
        <w:rPr>
          <w:rFonts w:eastAsia="Times New Roman"/>
          <w:color w:val="000000"/>
          <w:sz w:val="24"/>
          <w:szCs w:val="24"/>
        </w:rPr>
        <w:t xml:space="preserve">as identified in the Redevelopment Plan) </w:t>
      </w:r>
      <w:r w:rsidRPr="006145F4">
        <w:rPr>
          <w:rFonts w:eastAsia="Times New Roman"/>
          <w:color w:val="000000"/>
          <w:sz w:val="24"/>
          <w:szCs w:val="24"/>
        </w:rPr>
        <w:t xml:space="preserve">containing </w:t>
      </w:r>
      <w:r>
        <w:rPr>
          <w:rFonts w:eastAsia="Times New Roman"/>
          <w:color w:val="000000"/>
          <w:sz w:val="24"/>
          <w:szCs w:val="24"/>
        </w:rPr>
        <w:t>564-624</w:t>
      </w:r>
      <w:r w:rsidRPr="006145F4">
        <w:rPr>
          <w:rFonts w:eastAsia="Times New Roman"/>
          <w:color w:val="000000"/>
          <w:sz w:val="24"/>
          <w:szCs w:val="24"/>
        </w:rPr>
        <w:t xml:space="preserve"> market rate residential rental units</w:t>
      </w:r>
      <w:r>
        <w:rPr>
          <w:rFonts w:eastAsia="Times New Roman"/>
          <w:color w:val="000000"/>
          <w:sz w:val="24"/>
          <w:szCs w:val="24"/>
        </w:rPr>
        <w:t xml:space="preserve"> and a continuation of the Parking Garage consisting of 119-131</w:t>
      </w:r>
      <w:r w:rsidRPr="00331AE8">
        <w:rPr>
          <w:rFonts w:eastAsia="Times New Roman"/>
          <w:color w:val="000000"/>
          <w:sz w:val="24"/>
          <w:szCs w:val="24"/>
        </w:rPr>
        <w:t xml:space="preserve"> parking spaces</w:t>
      </w:r>
      <w:r>
        <w:rPr>
          <w:rFonts w:eastAsia="Times New Roman"/>
          <w:color w:val="000000"/>
          <w:sz w:val="24"/>
          <w:szCs w:val="24"/>
        </w:rPr>
        <w:t xml:space="preserve">, improved landscaped and hardscaped publicly accessible plaza and open space, </w:t>
      </w:r>
      <w:r w:rsidRPr="006145F4">
        <w:rPr>
          <w:rFonts w:eastAsia="Times New Roman"/>
          <w:color w:val="000000"/>
          <w:sz w:val="24"/>
          <w:szCs w:val="24"/>
        </w:rPr>
        <w:t xml:space="preserve">a drop off area servicing </w:t>
      </w:r>
      <w:r>
        <w:rPr>
          <w:rFonts w:eastAsia="Times New Roman"/>
          <w:color w:val="000000"/>
          <w:sz w:val="24"/>
          <w:szCs w:val="24"/>
        </w:rPr>
        <w:t>the North</w:t>
      </w:r>
      <w:r w:rsidRPr="006145F4">
        <w:rPr>
          <w:rFonts w:eastAsia="Times New Roman"/>
          <w:color w:val="000000"/>
          <w:sz w:val="24"/>
          <w:szCs w:val="24"/>
        </w:rPr>
        <w:t xml:space="preserve"> Tower</w:t>
      </w:r>
      <w:r w:rsidRPr="00331AE8">
        <w:rPr>
          <w:rFonts w:eastAsia="Times New Roman"/>
          <w:color w:val="000000"/>
          <w:sz w:val="24"/>
          <w:szCs w:val="24"/>
        </w:rPr>
        <w:t xml:space="preserve">, </w:t>
      </w:r>
      <w:r>
        <w:rPr>
          <w:rFonts w:eastAsia="Times New Roman"/>
          <w:color w:val="000000"/>
          <w:sz w:val="24"/>
          <w:szCs w:val="24"/>
        </w:rPr>
        <w:t xml:space="preserve">the Dog Park, and </w:t>
      </w:r>
      <w:r w:rsidRPr="00331AE8">
        <w:rPr>
          <w:rFonts w:eastAsia="Times New Roman"/>
          <w:color w:val="000000"/>
          <w:sz w:val="24"/>
          <w:szCs w:val="24"/>
        </w:rPr>
        <w:t>the remaining</w:t>
      </w:r>
      <w:r>
        <w:rPr>
          <w:rFonts w:eastAsia="Times New Roman"/>
          <w:color w:val="000000"/>
          <w:sz w:val="24"/>
          <w:szCs w:val="24"/>
        </w:rPr>
        <w:t xml:space="preserve"> </w:t>
      </w:r>
      <w:r>
        <w:rPr>
          <w:rFonts w:eastAsia="Times New Roman"/>
          <w:sz w:val="24"/>
          <w:szCs w:val="24"/>
        </w:rPr>
        <w:t xml:space="preserve">segment of </w:t>
      </w:r>
      <w:r w:rsidRPr="00EB432F">
        <w:rPr>
          <w:rFonts w:eastAsia="Times New Roman"/>
          <w:sz w:val="24"/>
          <w:szCs w:val="24"/>
        </w:rPr>
        <w:t>the Pavonia-Van Reipen Connector</w:t>
      </w:r>
      <w:r>
        <w:rPr>
          <w:rFonts w:eastAsia="Times New Roman"/>
          <w:sz w:val="24"/>
          <w:szCs w:val="24"/>
        </w:rPr>
        <w:t xml:space="preserve"> (the “</w:t>
      </w:r>
      <w:r w:rsidRPr="00CA048D">
        <w:rPr>
          <w:rFonts w:eastAsia="Times New Roman"/>
          <w:b/>
          <w:bCs/>
          <w:sz w:val="24"/>
          <w:szCs w:val="24"/>
        </w:rPr>
        <w:t>Phase 2 Project</w:t>
      </w:r>
      <w:r>
        <w:rPr>
          <w:rFonts w:eastAsia="Times New Roman"/>
          <w:sz w:val="24"/>
          <w:szCs w:val="24"/>
        </w:rPr>
        <w:t>,” together with the Phase 1 Project, the “</w:t>
      </w:r>
      <w:r w:rsidRPr="00CA048D">
        <w:rPr>
          <w:rFonts w:eastAsia="Times New Roman"/>
          <w:b/>
          <w:bCs/>
          <w:sz w:val="24"/>
          <w:szCs w:val="24"/>
        </w:rPr>
        <w:t>Project</w:t>
      </w:r>
      <w:r w:rsidRPr="00CA048D">
        <w:rPr>
          <w:rFonts w:eastAsia="Times New Roman"/>
          <w:sz w:val="24"/>
          <w:szCs w:val="24"/>
        </w:rPr>
        <w:t>”</w:t>
      </w:r>
      <w:r>
        <w:rPr>
          <w:rFonts w:eastAsia="Times New Roman"/>
          <w:sz w:val="24"/>
          <w:szCs w:val="24"/>
        </w:rPr>
        <w:t xml:space="preserve">); and </w:t>
      </w:r>
    </w:p>
    <w:p w:rsidR="00A47A5B" w:rsidRPr="009436A1" w:rsidP="009436A1" w14:paraId="491077E1" w14:textId="77777777">
      <w:pPr>
        <w:spacing w:line="264" w:lineRule="exact"/>
        <w:ind w:left="72" w:firstLine="720"/>
        <w:jc w:val="both"/>
        <w:textAlignment w:val="baseline"/>
        <w:rPr>
          <w:sz w:val="24"/>
          <w:szCs w:val="24"/>
        </w:rPr>
      </w:pPr>
    </w:p>
    <w:p w:rsidR="00BB4A25" w:rsidP="00BB4A25" w14:paraId="2738BF0A" w14:textId="18CD8BEE">
      <w:pPr>
        <w:ind w:firstLine="720"/>
        <w:jc w:val="both"/>
        <w:rPr>
          <w:rFonts w:eastAsia="Times New Roman" w:cstheme="minorBidi"/>
          <w:sz w:val="24"/>
          <w:szCs w:val="24"/>
        </w:rPr>
      </w:pPr>
      <w:r w:rsidRPr="00BB4A25">
        <w:rPr>
          <w:rFonts w:eastAsia="Times New Roman" w:cstheme="minorBidi"/>
          <w:b/>
          <w:sz w:val="24"/>
          <w:szCs w:val="24"/>
        </w:rPr>
        <w:t>WHEREAS</w:t>
      </w:r>
      <w:r w:rsidRPr="00BB4A25">
        <w:rPr>
          <w:rFonts w:eastAsia="Times New Roman" w:cstheme="minorBidi"/>
          <w:sz w:val="24"/>
          <w:szCs w:val="24"/>
        </w:rPr>
        <w:t xml:space="preserve">, the Agency now wishes to designate the </w:t>
      </w:r>
      <w:r w:rsidR="00CA048D">
        <w:rPr>
          <w:rFonts w:eastAsia="Times New Roman" w:cstheme="minorBidi"/>
          <w:sz w:val="24"/>
          <w:szCs w:val="24"/>
        </w:rPr>
        <w:t>New Phase 1 Redeveloper</w:t>
      </w:r>
      <w:r w:rsidRPr="00BB4A25">
        <w:rPr>
          <w:rFonts w:eastAsia="Times New Roman" w:cstheme="minorBidi"/>
          <w:sz w:val="24"/>
          <w:szCs w:val="24"/>
        </w:rPr>
        <w:t xml:space="preserve"> as “redeveloper” of the Property</w:t>
      </w:r>
      <w:r w:rsidR="00A47A5B">
        <w:rPr>
          <w:rFonts w:eastAsia="Times New Roman" w:cstheme="minorBidi"/>
          <w:sz w:val="24"/>
          <w:szCs w:val="24"/>
        </w:rPr>
        <w:t xml:space="preserve"> for</w:t>
      </w:r>
      <w:r w:rsidR="00BF4B06">
        <w:rPr>
          <w:rFonts w:eastAsia="Times New Roman" w:cstheme="minorBidi"/>
          <w:sz w:val="24"/>
          <w:szCs w:val="24"/>
        </w:rPr>
        <w:t xml:space="preserve"> the</w:t>
      </w:r>
      <w:r w:rsidR="00A47A5B">
        <w:rPr>
          <w:rFonts w:eastAsia="Times New Roman" w:cstheme="minorBidi"/>
          <w:sz w:val="24"/>
          <w:szCs w:val="24"/>
        </w:rPr>
        <w:t xml:space="preserve"> Phase </w:t>
      </w:r>
      <w:r w:rsidR="00CA048D">
        <w:rPr>
          <w:rFonts w:eastAsia="Times New Roman" w:cstheme="minorBidi"/>
          <w:sz w:val="24"/>
          <w:szCs w:val="24"/>
        </w:rPr>
        <w:t>1</w:t>
      </w:r>
      <w:r w:rsidR="00A47A5B">
        <w:rPr>
          <w:rFonts w:eastAsia="Times New Roman" w:cstheme="minorBidi"/>
          <w:sz w:val="24"/>
          <w:szCs w:val="24"/>
        </w:rPr>
        <w:t xml:space="preserve"> Project</w:t>
      </w:r>
      <w:r w:rsidRPr="00BB4A25">
        <w:rPr>
          <w:rFonts w:eastAsia="Times New Roman" w:cstheme="minorBidi"/>
          <w:sz w:val="24"/>
          <w:szCs w:val="24"/>
        </w:rPr>
        <w:t xml:space="preserve">, </w:t>
      </w:r>
      <w:r w:rsidR="00CA048D">
        <w:rPr>
          <w:rFonts w:eastAsia="Times New Roman" w:cstheme="minorBidi"/>
          <w:sz w:val="24"/>
          <w:szCs w:val="24"/>
        </w:rPr>
        <w:t xml:space="preserve">and designate New Phase 2 Redeveloper as “redeveloper” of the Property for </w:t>
      </w:r>
      <w:r w:rsidR="00BF4B06">
        <w:rPr>
          <w:rFonts w:eastAsia="Times New Roman" w:cstheme="minorBidi"/>
          <w:sz w:val="24"/>
          <w:szCs w:val="24"/>
        </w:rPr>
        <w:t xml:space="preserve">the </w:t>
      </w:r>
      <w:r w:rsidR="00CA048D">
        <w:rPr>
          <w:rFonts w:eastAsia="Times New Roman" w:cstheme="minorBidi"/>
          <w:sz w:val="24"/>
          <w:szCs w:val="24"/>
        </w:rPr>
        <w:t xml:space="preserve">Phase 2 Project, </w:t>
      </w:r>
      <w:r w:rsidRPr="00BB4A25">
        <w:rPr>
          <w:rFonts w:eastAsia="Times New Roman" w:cstheme="minorBidi"/>
          <w:sz w:val="24"/>
          <w:szCs w:val="24"/>
        </w:rPr>
        <w:t>as such term is defined in the Redevelopment Law, and enter into a redevelopment agreement (the “</w:t>
      </w:r>
      <w:r w:rsidRPr="00BB4A25">
        <w:rPr>
          <w:rFonts w:eastAsia="Times New Roman" w:cstheme="minorBidi"/>
          <w:b/>
          <w:sz w:val="24"/>
          <w:szCs w:val="24"/>
        </w:rPr>
        <w:t>Redevelopment Agreement</w:t>
      </w:r>
      <w:r w:rsidRPr="00BB4A25">
        <w:rPr>
          <w:rFonts w:eastAsia="Times New Roman" w:cstheme="minorBidi"/>
          <w:sz w:val="24"/>
          <w:szCs w:val="24"/>
        </w:rPr>
        <w:t xml:space="preserve">”) with </w:t>
      </w:r>
      <w:r w:rsidR="00CA048D">
        <w:rPr>
          <w:rFonts w:eastAsia="Times New Roman" w:cstheme="minorBidi"/>
          <w:sz w:val="24"/>
          <w:szCs w:val="24"/>
        </w:rPr>
        <w:t xml:space="preserve">the New Phase 1 </w:t>
      </w:r>
      <w:r w:rsidRPr="00BB4A25">
        <w:rPr>
          <w:rFonts w:eastAsia="Times New Roman" w:cstheme="minorBidi"/>
          <w:sz w:val="24"/>
          <w:szCs w:val="24"/>
        </w:rPr>
        <w:t xml:space="preserve">Redeveloper </w:t>
      </w:r>
      <w:r w:rsidR="00CA048D">
        <w:rPr>
          <w:rFonts w:eastAsia="Times New Roman" w:cstheme="minorBidi"/>
          <w:sz w:val="24"/>
          <w:szCs w:val="24"/>
        </w:rPr>
        <w:t xml:space="preserve">and New Phase 2 Redeveloper </w:t>
      </w:r>
      <w:r w:rsidRPr="00BB4A25">
        <w:rPr>
          <w:rFonts w:eastAsia="Times New Roman" w:cstheme="minorBidi"/>
          <w:sz w:val="24"/>
          <w:szCs w:val="24"/>
        </w:rPr>
        <w:t>to set forth in greater detail their respective undertakings, rights and obligations in connection with construction of the Project on the Property</w:t>
      </w:r>
      <w:r w:rsidR="003D2FC5">
        <w:rPr>
          <w:rFonts w:eastAsia="Times New Roman" w:cstheme="minorBidi"/>
          <w:sz w:val="24"/>
          <w:szCs w:val="24"/>
        </w:rPr>
        <w:t xml:space="preserve">; and </w:t>
      </w:r>
    </w:p>
    <w:p w:rsidR="003D2FC5" w:rsidP="00BB4A25" w14:paraId="207DEC39" w14:textId="13EF2969">
      <w:pPr>
        <w:ind w:firstLine="720"/>
        <w:jc w:val="both"/>
        <w:rPr>
          <w:rFonts w:eastAsia="Times New Roman" w:cstheme="minorBidi"/>
          <w:sz w:val="24"/>
          <w:szCs w:val="24"/>
        </w:rPr>
      </w:pPr>
    </w:p>
    <w:p w:rsidR="003D2FC5" w:rsidRPr="00BB4A25" w:rsidP="00BB4A25" w14:paraId="5914561E" w14:textId="6088A86F">
      <w:pPr>
        <w:ind w:firstLine="720"/>
        <w:jc w:val="both"/>
        <w:rPr>
          <w:rFonts w:eastAsia="Times New Roman" w:cstheme="minorBidi"/>
          <w:sz w:val="24"/>
          <w:szCs w:val="24"/>
        </w:rPr>
      </w:pPr>
      <w:r w:rsidRPr="00BB4A25">
        <w:rPr>
          <w:rFonts w:eastAsia="Times New Roman" w:cstheme="minorBidi"/>
          <w:b/>
          <w:sz w:val="24"/>
          <w:szCs w:val="24"/>
        </w:rPr>
        <w:t>WHEREAS</w:t>
      </w:r>
      <w:r>
        <w:rPr>
          <w:rFonts w:eastAsia="Times New Roman" w:cstheme="minorBidi"/>
          <w:sz w:val="24"/>
          <w:szCs w:val="24"/>
        </w:rPr>
        <w:t>, the Agency also wishes to enter into a license agreement (the “</w:t>
      </w:r>
      <w:r w:rsidRPr="003D2FC5">
        <w:rPr>
          <w:rFonts w:eastAsia="Times New Roman" w:cstheme="minorBidi"/>
          <w:b/>
          <w:bCs/>
          <w:sz w:val="24"/>
          <w:szCs w:val="24"/>
        </w:rPr>
        <w:t>License Agreement</w:t>
      </w:r>
      <w:r>
        <w:rPr>
          <w:rFonts w:eastAsia="Times New Roman" w:cstheme="minorBidi"/>
          <w:sz w:val="24"/>
          <w:szCs w:val="24"/>
        </w:rPr>
        <w:t xml:space="preserve">”) </w:t>
      </w:r>
      <w:r w:rsidR="00374DFE">
        <w:rPr>
          <w:rFonts w:eastAsia="Times New Roman" w:cstheme="minorBidi"/>
          <w:sz w:val="24"/>
          <w:szCs w:val="24"/>
        </w:rPr>
        <w:t xml:space="preserve">through June 30, 2023 </w:t>
      </w:r>
      <w:r>
        <w:rPr>
          <w:rFonts w:eastAsia="Times New Roman" w:cstheme="minorBidi"/>
          <w:sz w:val="24"/>
          <w:szCs w:val="24"/>
        </w:rPr>
        <w:t xml:space="preserve">with New Phase 1 Redeveloper to allow for </w:t>
      </w:r>
      <w:r w:rsidR="00374DFE">
        <w:rPr>
          <w:rFonts w:eastAsia="Times New Roman" w:cstheme="minorBidi"/>
          <w:sz w:val="24"/>
          <w:szCs w:val="24"/>
        </w:rPr>
        <w:t xml:space="preserve">New Phase 1 Redeveloper </w:t>
      </w:r>
      <w:r w:rsidR="00A523AC">
        <w:rPr>
          <w:rFonts w:eastAsia="Times New Roman" w:cstheme="minorBidi"/>
          <w:sz w:val="24"/>
          <w:szCs w:val="24"/>
        </w:rPr>
        <w:t>to enter</w:t>
      </w:r>
      <w:r w:rsidR="00374DFE">
        <w:rPr>
          <w:rFonts w:eastAsia="Times New Roman" w:cstheme="minorBidi"/>
          <w:sz w:val="24"/>
          <w:szCs w:val="24"/>
        </w:rPr>
        <w:t xml:space="preserve"> the Loading Dock property to complete </w:t>
      </w:r>
      <w:r>
        <w:rPr>
          <w:rFonts w:eastAsia="Times New Roman" w:cstheme="minorBidi"/>
          <w:sz w:val="24"/>
          <w:szCs w:val="24"/>
        </w:rPr>
        <w:t xml:space="preserve">the work on the Loading Dock Area after it has been conveyed to the Agency, </w:t>
      </w:r>
    </w:p>
    <w:p w:rsidR="009436A1" w:rsidRPr="009436A1" w:rsidP="009436A1" w14:paraId="61210B74" w14:textId="77777777">
      <w:pPr>
        <w:ind w:left="144" w:firstLine="648"/>
        <w:jc w:val="both"/>
        <w:textAlignment w:val="baseline"/>
        <w:rPr>
          <w:rFonts w:eastAsia="Times New Roman"/>
          <w:color w:val="000000"/>
          <w:sz w:val="24"/>
          <w:szCs w:val="24"/>
        </w:rPr>
      </w:pPr>
    </w:p>
    <w:p w:rsidR="009436A1" w:rsidRPr="009436A1" w:rsidP="009436A1" w14:paraId="4BC15E0C" w14:textId="77777777">
      <w:pPr>
        <w:ind w:left="144" w:firstLine="648"/>
        <w:jc w:val="both"/>
        <w:textAlignment w:val="baseline"/>
        <w:rPr>
          <w:rFonts w:eastAsia="Times New Roman"/>
          <w:color w:val="000000"/>
          <w:sz w:val="24"/>
          <w:szCs w:val="24"/>
        </w:rPr>
      </w:pPr>
      <w:r w:rsidRPr="009436A1">
        <w:rPr>
          <w:rFonts w:eastAsia="Times New Roman"/>
          <w:b/>
          <w:color w:val="000000"/>
          <w:sz w:val="24"/>
          <w:szCs w:val="24"/>
        </w:rPr>
        <w:t xml:space="preserve">NOW, THEREFORE, BE IT RESOLVED </w:t>
      </w:r>
      <w:r w:rsidRPr="009436A1">
        <w:rPr>
          <w:rFonts w:eastAsia="Times New Roman"/>
          <w:color w:val="000000"/>
          <w:sz w:val="24"/>
          <w:szCs w:val="24"/>
        </w:rPr>
        <w:t>by the Board of Commissioners of the Jersey City Redevelopment Agency as follows:</w:t>
      </w:r>
    </w:p>
    <w:p w:rsidR="009436A1" w:rsidRPr="009436A1" w:rsidP="00F7218A" w14:paraId="5441C454" w14:textId="77777777">
      <w:pPr>
        <w:tabs>
          <w:tab w:val="left" w:pos="720"/>
        </w:tabs>
        <w:ind w:left="144" w:firstLine="648"/>
        <w:jc w:val="both"/>
        <w:textAlignment w:val="baseline"/>
        <w:rPr>
          <w:rFonts w:eastAsia="Times New Roman"/>
          <w:b/>
          <w:color w:val="000000"/>
          <w:sz w:val="24"/>
          <w:szCs w:val="24"/>
        </w:rPr>
      </w:pPr>
    </w:p>
    <w:p w:rsidR="00F7218A" w:rsidP="00F7218A" w14:paraId="10651244" w14:textId="77777777">
      <w:pPr>
        <w:tabs>
          <w:tab w:val="left" w:pos="720"/>
          <w:tab w:val="left" w:pos="2232"/>
        </w:tabs>
        <w:textAlignment w:val="baseline"/>
        <w:rPr>
          <w:rFonts w:eastAsia="Times New Roman"/>
          <w:color w:val="000000"/>
          <w:sz w:val="24"/>
          <w:szCs w:val="24"/>
        </w:rPr>
      </w:pPr>
      <w:r>
        <w:rPr>
          <w:rFonts w:eastAsia="Times New Roman"/>
          <w:b/>
          <w:color w:val="000000"/>
          <w:sz w:val="24"/>
          <w:szCs w:val="24"/>
        </w:rPr>
        <w:tab/>
      </w:r>
      <w:r w:rsidRPr="009436A1" w:rsidR="009436A1">
        <w:rPr>
          <w:rFonts w:eastAsia="Times New Roman"/>
          <w:b/>
          <w:color w:val="000000"/>
          <w:sz w:val="24"/>
          <w:szCs w:val="24"/>
        </w:rPr>
        <w:t>Section 1.</w:t>
      </w:r>
      <w:r>
        <w:rPr>
          <w:rFonts w:eastAsia="Times New Roman"/>
          <w:b/>
          <w:color w:val="000000"/>
          <w:sz w:val="24"/>
          <w:szCs w:val="24"/>
        </w:rPr>
        <w:tab/>
      </w:r>
      <w:r w:rsidRPr="009436A1" w:rsidR="009436A1">
        <w:rPr>
          <w:rFonts w:eastAsia="Times New Roman"/>
          <w:color w:val="000000"/>
          <w:sz w:val="24"/>
          <w:szCs w:val="24"/>
        </w:rPr>
        <w:t>The recitals hereto are hereby incorporated herein as if set forth at length.</w:t>
      </w:r>
    </w:p>
    <w:p w:rsidR="00F7218A" w:rsidP="00F7218A" w14:paraId="7748B1F6" w14:textId="77777777">
      <w:pPr>
        <w:tabs>
          <w:tab w:val="left" w:pos="720"/>
          <w:tab w:val="left" w:pos="2232"/>
        </w:tabs>
        <w:textAlignment w:val="baseline"/>
        <w:rPr>
          <w:rFonts w:eastAsia="Times New Roman"/>
          <w:color w:val="000000"/>
          <w:sz w:val="24"/>
          <w:szCs w:val="24"/>
        </w:rPr>
      </w:pPr>
    </w:p>
    <w:p w:rsidR="009436A1" w:rsidRPr="00F7218A" w:rsidP="00200395" w14:paraId="131C3398" w14:textId="26179CEA">
      <w:pPr>
        <w:tabs>
          <w:tab w:val="left" w:pos="720"/>
          <w:tab w:val="left" w:pos="2232"/>
        </w:tabs>
        <w:jc w:val="both"/>
        <w:textAlignment w:val="baseline"/>
        <w:rPr>
          <w:rFonts w:eastAsia="Times New Roman"/>
          <w:color w:val="000000"/>
          <w:sz w:val="24"/>
          <w:szCs w:val="24"/>
        </w:rPr>
      </w:pPr>
      <w:r>
        <w:rPr>
          <w:rFonts w:eastAsia="Times New Roman"/>
          <w:color w:val="000000"/>
          <w:sz w:val="24"/>
          <w:szCs w:val="24"/>
        </w:rPr>
        <w:tab/>
      </w:r>
      <w:r w:rsidRPr="009436A1">
        <w:rPr>
          <w:rFonts w:eastAsia="Times New Roman"/>
          <w:b/>
          <w:color w:val="000000"/>
          <w:sz w:val="24"/>
          <w:szCs w:val="24"/>
        </w:rPr>
        <w:t>Section 2.</w:t>
      </w:r>
      <w:r w:rsidRPr="009436A1">
        <w:rPr>
          <w:rFonts w:eastAsia="Times New Roman"/>
          <w:b/>
          <w:color w:val="000000"/>
          <w:sz w:val="24"/>
          <w:szCs w:val="24"/>
        </w:rPr>
        <w:tab/>
      </w:r>
      <w:r w:rsidRPr="00BB4A25" w:rsidR="00BB4A25">
        <w:rPr>
          <w:sz w:val="24"/>
          <w:szCs w:val="24"/>
        </w:rPr>
        <w:t xml:space="preserve">The Board of Commissioners hereby designates 808 Pavonia </w:t>
      </w:r>
      <w:r w:rsidR="00A47A5B">
        <w:rPr>
          <w:sz w:val="24"/>
          <w:szCs w:val="24"/>
        </w:rPr>
        <w:t xml:space="preserve">Phase I Owner, </w:t>
      </w:r>
      <w:r w:rsidRPr="00BB4A25" w:rsidR="00BB4A25">
        <w:rPr>
          <w:sz w:val="24"/>
          <w:szCs w:val="24"/>
        </w:rPr>
        <w:t>LLC as redeveloper of the Property</w:t>
      </w:r>
      <w:r w:rsidR="001E7602">
        <w:rPr>
          <w:sz w:val="24"/>
          <w:szCs w:val="24"/>
        </w:rPr>
        <w:t xml:space="preserve"> for Phase </w:t>
      </w:r>
      <w:r w:rsidR="00CA048D">
        <w:rPr>
          <w:sz w:val="24"/>
          <w:szCs w:val="24"/>
        </w:rPr>
        <w:t>1</w:t>
      </w:r>
      <w:r w:rsidR="001E7602">
        <w:rPr>
          <w:sz w:val="24"/>
          <w:szCs w:val="24"/>
        </w:rPr>
        <w:t xml:space="preserve"> Project</w:t>
      </w:r>
      <w:r w:rsidR="00CA048D">
        <w:rPr>
          <w:sz w:val="24"/>
          <w:szCs w:val="24"/>
        </w:rPr>
        <w:t xml:space="preserve"> and 808 Pavonia Phase II Owner, LLC as redeveloper of the Property for Phase 2 Project</w:t>
      </w:r>
      <w:r w:rsidR="007A407C">
        <w:rPr>
          <w:sz w:val="24"/>
          <w:szCs w:val="24"/>
        </w:rPr>
        <w:t xml:space="preserve">, in accordance with the organizational charts provided with respect to each of the same and on file with the Agency, provided however, that such charts may be amended upon written notice to the Agency to increase the amount of interest retained by the Original Redeveloper and its affiliate KRE/Silverstein 808 Pavonia II. </w:t>
      </w:r>
    </w:p>
    <w:p w:rsidR="00BB4A25" w:rsidRPr="009436A1" w:rsidP="00F7218A" w14:paraId="7C192DAF" w14:textId="77777777">
      <w:pPr>
        <w:tabs>
          <w:tab w:val="left" w:pos="2232"/>
        </w:tabs>
        <w:ind w:firstLine="648"/>
        <w:jc w:val="both"/>
        <w:textAlignment w:val="baseline"/>
        <w:rPr>
          <w:rFonts w:eastAsia="Times New Roman"/>
          <w:b/>
          <w:color w:val="000000"/>
          <w:sz w:val="24"/>
          <w:szCs w:val="24"/>
        </w:rPr>
      </w:pPr>
    </w:p>
    <w:p w:rsidR="00BB4A25" w:rsidP="00F7218A" w14:paraId="093819AF" w14:textId="28FA74B1">
      <w:pPr>
        <w:ind w:firstLine="720"/>
        <w:jc w:val="both"/>
        <w:rPr>
          <w:rFonts w:eastAsiaTheme="minorHAnsi" w:cstheme="minorBidi"/>
          <w:sz w:val="24"/>
        </w:rPr>
      </w:pPr>
      <w:r w:rsidRPr="00BB4A25">
        <w:rPr>
          <w:rFonts w:eastAsiaTheme="minorHAnsi" w:cstheme="minorBidi"/>
          <w:b/>
          <w:bCs/>
          <w:sz w:val="24"/>
          <w:szCs w:val="24"/>
        </w:rPr>
        <w:t>Section 3.</w:t>
      </w:r>
      <w:r w:rsidRPr="00BB4A25">
        <w:rPr>
          <w:rFonts w:eastAsiaTheme="minorHAnsi" w:cstheme="minorBidi"/>
          <w:sz w:val="24"/>
          <w:szCs w:val="24"/>
        </w:rPr>
        <w:tab/>
        <w:t>The Chair, Vice</w:t>
      </w:r>
      <w:r w:rsidR="00980312">
        <w:rPr>
          <w:rFonts w:eastAsiaTheme="minorHAnsi" w:cstheme="minorBidi"/>
          <w:sz w:val="24"/>
          <w:szCs w:val="24"/>
        </w:rPr>
        <w:t xml:space="preserve"> </w:t>
      </w:r>
      <w:r w:rsidRPr="00BB4A25">
        <w:rPr>
          <w:rFonts w:eastAsiaTheme="minorHAnsi" w:cstheme="minorBidi"/>
          <w:sz w:val="24"/>
          <w:szCs w:val="24"/>
        </w:rPr>
        <w:t>Chair, Executive Director and/or Secretary of the Agency are hereby authorized to execute the Redevelopment Agreement</w:t>
      </w:r>
      <w:r w:rsidR="00BF0B7D">
        <w:rPr>
          <w:rFonts w:eastAsiaTheme="minorHAnsi" w:cstheme="minorBidi"/>
          <w:sz w:val="24"/>
          <w:szCs w:val="24"/>
        </w:rPr>
        <w:t>s</w:t>
      </w:r>
      <w:r w:rsidRPr="00BB4A25">
        <w:rPr>
          <w:rFonts w:eastAsiaTheme="minorHAnsi" w:cstheme="minorBidi"/>
          <w:sz w:val="24"/>
          <w:szCs w:val="24"/>
        </w:rPr>
        <w:t xml:space="preserve">, in substantially the form on file with the Agency, together with such additions, deletions and/or modifications as deemed necessary or desirable by the Executive Director in consultation with </w:t>
      </w:r>
      <w:r w:rsidR="00455F74">
        <w:rPr>
          <w:rFonts w:eastAsiaTheme="minorHAnsi" w:cstheme="minorBidi"/>
          <w:sz w:val="24"/>
          <w:szCs w:val="24"/>
        </w:rPr>
        <w:t>c</w:t>
      </w:r>
      <w:r w:rsidRPr="00BB4A25">
        <w:rPr>
          <w:rFonts w:eastAsiaTheme="minorHAnsi" w:cstheme="minorBidi"/>
          <w:sz w:val="24"/>
          <w:szCs w:val="24"/>
        </w:rPr>
        <w:t xml:space="preserve">ounsel, and any and all other documents necessary or desirable to effectuate this Resolution, in consultation with </w:t>
      </w:r>
      <w:r w:rsidR="00455F74">
        <w:rPr>
          <w:rFonts w:eastAsiaTheme="minorHAnsi" w:cstheme="minorBidi"/>
          <w:sz w:val="24"/>
          <w:szCs w:val="24"/>
        </w:rPr>
        <w:t>c</w:t>
      </w:r>
      <w:r w:rsidRPr="00BB4A25">
        <w:rPr>
          <w:rFonts w:eastAsiaTheme="minorHAnsi" w:cstheme="minorBidi"/>
          <w:sz w:val="24"/>
          <w:szCs w:val="24"/>
        </w:rPr>
        <w:t>ounsel</w:t>
      </w:r>
      <w:r w:rsidRPr="00BB4A25">
        <w:rPr>
          <w:rFonts w:eastAsiaTheme="minorHAnsi" w:cstheme="minorBidi"/>
          <w:sz w:val="24"/>
        </w:rPr>
        <w:t>.</w:t>
      </w:r>
    </w:p>
    <w:p w:rsidR="003D2FC5" w:rsidP="00F7218A" w14:paraId="0847603D" w14:textId="053B770C">
      <w:pPr>
        <w:ind w:firstLine="720"/>
        <w:jc w:val="both"/>
        <w:rPr>
          <w:rFonts w:eastAsiaTheme="minorHAnsi" w:cstheme="minorBidi"/>
          <w:sz w:val="24"/>
        </w:rPr>
      </w:pPr>
    </w:p>
    <w:p w:rsidR="003D2FC5" w:rsidRPr="00BB4A25" w:rsidP="003D2FC5" w14:paraId="50D2E466" w14:textId="157E175F">
      <w:pPr>
        <w:ind w:firstLine="720"/>
        <w:jc w:val="both"/>
        <w:rPr>
          <w:rFonts w:eastAsiaTheme="minorHAnsi" w:cstheme="minorBidi"/>
          <w:sz w:val="24"/>
        </w:rPr>
      </w:pPr>
      <w:r w:rsidRPr="003D2FC5">
        <w:rPr>
          <w:rFonts w:eastAsiaTheme="minorHAnsi" w:cstheme="minorBidi"/>
          <w:b/>
          <w:bCs/>
          <w:sz w:val="24"/>
          <w:szCs w:val="24"/>
        </w:rPr>
        <w:t>Section 4</w:t>
      </w:r>
      <w:r>
        <w:rPr>
          <w:rFonts w:eastAsiaTheme="minorHAnsi" w:cstheme="minorBidi"/>
          <w:sz w:val="24"/>
          <w:szCs w:val="24"/>
        </w:rPr>
        <w:t>.</w:t>
      </w:r>
      <w:r>
        <w:rPr>
          <w:rFonts w:eastAsiaTheme="minorHAnsi" w:cstheme="minorBidi"/>
          <w:sz w:val="24"/>
          <w:szCs w:val="24"/>
        </w:rPr>
        <w:tab/>
      </w:r>
      <w:r w:rsidRPr="00BB4A25">
        <w:rPr>
          <w:rFonts w:eastAsiaTheme="minorHAnsi" w:cstheme="minorBidi"/>
          <w:sz w:val="24"/>
          <w:szCs w:val="24"/>
        </w:rPr>
        <w:t>The Chair, Vice</w:t>
      </w:r>
      <w:r w:rsidR="00980312">
        <w:rPr>
          <w:rFonts w:eastAsiaTheme="minorHAnsi" w:cstheme="minorBidi"/>
          <w:sz w:val="24"/>
          <w:szCs w:val="24"/>
        </w:rPr>
        <w:t xml:space="preserve"> </w:t>
      </w:r>
      <w:r w:rsidRPr="00BB4A25">
        <w:rPr>
          <w:rFonts w:eastAsiaTheme="minorHAnsi" w:cstheme="minorBidi"/>
          <w:sz w:val="24"/>
          <w:szCs w:val="24"/>
        </w:rPr>
        <w:t xml:space="preserve">Chair, Executive Director and/or Secretary of the Agency are hereby authorized to execute </w:t>
      </w:r>
      <w:r w:rsidR="00F922FF">
        <w:rPr>
          <w:rFonts w:eastAsiaTheme="minorHAnsi" w:cstheme="minorBidi"/>
          <w:sz w:val="24"/>
          <w:szCs w:val="24"/>
        </w:rPr>
        <w:t>a</w:t>
      </w:r>
      <w:r>
        <w:rPr>
          <w:rFonts w:eastAsiaTheme="minorHAnsi" w:cstheme="minorBidi"/>
          <w:sz w:val="24"/>
          <w:szCs w:val="24"/>
        </w:rPr>
        <w:t xml:space="preserve"> License Agreement </w:t>
      </w:r>
      <w:r w:rsidR="00F922FF">
        <w:rPr>
          <w:rFonts w:eastAsiaTheme="minorHAnsi" w:cstheme="minorBidi"/>
          <w:sz w:val="24"/>
          <w:szCs w:val="24"/>
        </w:rPr>
        <w:t xml:space="preserve">with </w:t>
      </w:r>
      <w:r w:rsidR="00F922FF">
        <w:rPr>
          <w:rFonts w:eastAsia="Times New Roman" w:cstheme="minorBidi"/>
          <w:sz w:val="24"/>
          <w:szCs w:val="24"/>
        </w:rPr>
        <w:t>New Phase 1 Redeveloper</w:t>
      </w:r>
      <w:r w:rsidRPr="00BB4A25" w:rsidR="00F922FF">
        <w:rPr>
          <w:rFonts w:eastAsia="Times New Roman" w:cstheme="minorBidi"/>
          <w:sz w:val="24"/>
          <w:szCs w:val="24"/>
        </w:rPr>
        <w:t xml:space="preserve"> </w:t>
      </w:r>
      <w:r>
        <w:rPr>
          <w:rFonts w:eastAsiaTheme="minorHAnsi" w:cstheme="minorBidi"/>
          <w:sz w:val="24"/>
          <w:szCs w:val="24"/>
        </w:rPr>
        <w:t>related to the Loading Dock Area</w:t>
      </w:r>
      <w:r w:rsidRPr="00BB4A25">
        <w:rPr>
          <w:rFonts w:eastAsiaTheme="minorHAnsi" w:cstheme="minorBidi"/>
          <w:sz w:val="24"/>
          <w:szCs w:val="24"/>
        </w:rPr>
        <w:t xml:space="preserve">, in substantially the form on file with the Agency, together with such additions, deletions and/or modifications as deemed necessary or desirable by the Executive Director in consultation with </w:t>
      </w:r>
      <w:r>
        <w:rPr>
          <w:rFonts w:eastAsiaTheme="minorHAnsi" w:cstheme="minorBidi"/>
          <w:sz w:val="24"/>
          <w:szCs w:val="24"/>
        </w:rPr>
        <w:t>c</w:t>
      </w:r>
      <w:r w:rsidRPr="00BB4A25">
        <w:rPr>
          <w:rFonts w:eastAsiaTheme="minorHAnsi" w:cstheme="minorBidi"/>
          <w:sz w:val="24"/>
          <w:szCs w:val="24"/>
        </w:rPr>
        <w:t xml:space="preserve">ounsel, and any and all other documents necessary or desirable to effectuate this Resolution, in consultation with </w:t>
      </w:r>
      <w:r>
        <w:rPr>
          <w:rFonts w:eastAsiaTheme="minorHAnsi" w:cstheme="minorBidi"/>
          <w:sz w:val="24"/>
          <w:szCs w:val="24"/>
        </w:rPr>
        <w:t>c</w:t>
      </w:r>
      <w:r w:rsidRPr="00BB4A25">
        <w:rPr>
          <w:rFonts w:eastAsiaTheme="minorHAnsi" w:cstheme="minorBidi"/>
          <w:sz w:val="24"/>
          <w:szCs w:val="24"/>
        </w:rPr>
        <w:t>ounsel</w:t>
      </w:r>
      <w:r w:rsidRPr="00BB4A25">
        <w:rPr>
          <w:rFonts w:eastAsiaTheme="minorHAnsi" w:cstheme="minorBidi"/>
          <w:sz w:val="24"/>
        </w:rPr>
        <w:t>.</w:t>
      </w:r>
    </w:p>
    <w:p w:rsidR="003D2FC5" w:rsidRPr="00BB4A25" w:rsidP="00F7218A" w14:paraId="5552CC24" w14:textId="77777777">
      <w:pPr>
        <w:ind w:firstLine="720"/>
        <w:jc w:val="both"/>
        <w:rPr>
          <w:rFonts w:eastAsiaTheme="minorHAnsi" w:cstheme="minorBidi"/>
          <w:sz w:val="24"/>
        </w:rPr>
      </w:pPr>
    </w:p>
    <w:p w:rsidR="00BB4A25" w:rsidP="00F7218A" w14:paraId="648FD72A" w14:textId="3DDEACF9">
      <w:pPr>
        <w:ind w:firstLine="720"/>
        <w:jc w:val="both"/>
        <w:rPr>
          <w:rFonts w:eastAsiaTheme="minorHAnsi" w:cstheme="minorBidi"/>
          <w:sz w:val="24"/>
        </w:rPr>
      </w:pPr>
      <w:r w:rsidRPr="00BB4A25">
        <w:rPr>
          <w:rFonts w:eastAsiaTheme="minorHAnsi" w:cstheme="minorBidi"/>
          <w:b/>
          <w:sz w:val="24"/>
        </w:rPr>
        <w:t xml:space="preserve">Section </w:t>
      </w:r>
      <w:r w:rsidR="003D2FC5">
        <w:rPr>
          <w:rFonts w:eastAsiaTheme="minorHAnsi" w:cstheme="minorBidi"/>
          <w:b/>
          <w:sz w:val="24"/>
        </w:rPr>
        <w:t>5</w:t>
      </w:r>
      <w:r w:rsidRPr="00BB4A25">
        <w:rPr>
          <w:rFonts w:eastAsiaTheme="minorHAnsi" w:cstheme="minorBidi"/>
          <w:b/>
          <w:sz w:val="24"/>
        </w:rPr>
        <w:t>.</w:t>
      </w:r>
      <w:r w:rsidRPr="00BB4A25">
        <w:rPr>
          <w:rFonts w:eastAsiaTheme="minorHAnsi" w:cstheme="minorBidi"/>
          <w:sz w:val="24"/>
        </w:rPr>
        <w:t xml:space="preserve">   </w:t>
      </w:r>
      <w:r w:rsidRPr="00BB4A25">
        <w:rPr>
          <w:rFonts w:eastAsiaTheme="minorHAnsi" w:cstheme="minorBidi"/>
          <w:sz w:val="24"/>
        </w:rPr>
        <w:tab/>
        <w:t>The Chair, Vice</w:t>
      </w:r>
      <w:r w:rsidR="00980312">
        <w:rPr>
          <w:rFonts w:eastAsiaTheme="minorHAnsi" w:cstheme="minorBidi"/>
          <w:sz w:val="24"/>
        </w:rPr>
        <w:t xml:space="preserve"> </w:t>
      </w:r>
      <w:r w:rsidRPr="00BB4A25">
        <w:rPr>
          <w:rFonts w:eastAsiaTheme="minorHAnsi" w:cstheme="minorBidi"/>
          <w:sz w:val="24"/>
        </w:rPr>
        <w:t xml:space="preserve">Chair, </w:t>
      </w:r>
      <w:r w:rsidRPr="00BB4A25">
        <w:rPr>
          <w:rFonts w:eastAsiaTheme="minorHAnsi" w:cstheme="minorBidi"/>
          <w:sz w:val="24"/>
          <w:szCs w:val="24"/>
        </w:rPr>
        <w:t>Executive Director and/or Secretary of the Agency are hereby authorized to undertake all actions necessary to effectuate this Resolution.</w:t>
      </w:r>
    </w:p>
    <w:p w:rsidR="00BB4A25" w:rsidP="00F7218A" w14:paraId="5E70A15C" w14:textId="77777777">
      <w:pPr>
        <w:ind w:firstLine="720"/>
        <w:jc w:val="both"/>
        <w:rPr>
          <w:rFonts w:eastAsiaTheme="minorHAnsi" w:cstheme="minorBidi"/>
          <w:sz w:val="24"/>
        </w:rPr>
      </w:pPr>
    </w:p>
    <w:p w:rsidR="009436A1" w:rsidRPr="00BB4A25" w:rsidP="00F7218A" w14:paraId="7FACF31B" w14:textId="13F6BA8A">
      <w:pPr>
        <w:ind w:firstLine="720"/>
        <w:jc w:val="both"/>
        <w:rPr>
          <w:rFonts w:eastAsiaTheme="minorHAnsi" w:cstheme="minorBidi"/>
          <w:sz w:val="24"/>
        </w:rPr>
      </w:pPr>
      <w:r w:rsidRPr="009436A1">
        <w:rPr>
          <w:rFonts w:eastAsia="Times New Roman"/>
          <w:b/>
          <w:color w:val="000000"/>
          <w:sz w:val="24"/>
          <w:szCs w:val="24"/>
        </w:rPr>
        <w:t xml:space="preserve">Section </w:t>
      </w:r>
      <w:r w:rsidR="003D2FC5">
        <w:rPr>
          <w:rFonts w:eastAsia="Times New Roman"/>
          <w:b/>
          <w:bCs/>
          <w:color w:val="000000"/>
          <w:sz w:val="24"/>
          <w:szCs w:val="24"/>
        </w:rPr>
        <w:t>6</w:t>
      </w:r>
      <w:r w:rsidRPr="00BB4A25" w:rsidR="00BB4A25">
        <w:rPr>
          <w:rFonts w:eastAsia="Times New Roman"/>
          <w:b/>
          <w:bCs/>
          <w:color w:val="000000"/>
          <w:sz w:val="24"/>
          <w:szCs w:val="24"/>
        </w:rPr>
        <w:t>.</w:t>
      </w:r>
      <w:r w:rsidRPr="009436A1">
        <w:rPr>
          <w:rFonts w:eastAsia="Times New Roman"/>
          <w:color w:val="000000"/>
          <w:sz w:val="24"/>
          <w:szCs w:val="24"/>
        </w:rPr>
        <w:tab/>
        <w:t>This Resolution shall take effect immediately.</w:t>
      </w:r>
    </w:p>
    <w:p w:rsidR="009436A1" w:rsidRPr="009436A1" w:rsidP="009436A1" w14:paraId="28F75569" w14:textId="77777777">
      <w:pPr>
        <w:jc w:val="both"/>
        <w:rPr>
          <w:b/>
          <w:bCs/>
          <w:sz w:val="24"/>
          <w:szCs w:val="24"/>
        </w:rPr>
      </w:pPr>
    </w:p>
    <w:p w:rsidR="00200395" w14:paraId="3C832F9E" w14:textId="77777777">
      <w:pPr>
        <w:spacing w:after="160" w:line="259" w:lineRule="auto"/>
        <w:rPr>
          <w:b/>
          <w:bCs/>
          <w:sz w:val="24"/>
          <w:szCs w:val="24"/>
        </w:rPr>
      </w:pPr>
      <w:r>
        <w:rPr>
          <w:b/>
          <w:bCs/>
          <w:sz w:val="24"/>
          <w:szCs w:val="24"/>
        </w:rPr>
        <w:br w:type="page"/>
      </w:r>
    </w:p>
    <w:p w:rsidR="009436A1" w:rsidRPr="009436A1" w:rsidP="009436A1" w14:paraId="339467B3" w14:textId="43456F11">
      <w:pPr>
        <w:jc w:val="both"/>
        <w:rPr>
          <w:sz w:val="24"/>
          <w:szCs w:val="24"/>
        </w:rPr>
      </w:pPr>
      <w:r w:rsidRPr="009436A1">
        <w:rPr>
          <w:b/>
          <w:bCs/>
          <w:sz w:val="24"/>
          <w:szCs w:val="24"/>
        </w:rPr>
        <w:t xml:space="preserve">Certified to be a true and correct copy of a Resolution of the Board of Commissioners of the Jersey City Redevelopment Agency adopted at its Regular Meeting of </w:t>
      </w:r>
      <w:r w:rsidR="00546321">
        <w:rPr>
          <w:b/>
          <w:bCs/>
          <w:sz w:val="24"/>
          <w:szCs w:val="24"/>
        </w:rPr>
        <w:t>March</w:t>
      </w:r>
      <w:r w:rsidR="001E7602">
        <w:rPr>
          <w:b/>
          <w:bCs/>
          <w:sz w:val="24"/>
          <w:szCs w:val="24"/>
        </w:rPr>
        <w:t xml:space="preserve"> 21, 2023.</w:t>
      </w:r>
    </w:p>
    <w:p w:rsidR="009436A1" w:rsidRPr="009436A1" w:rsidP="009436A1" w14:paraId="5F5B0D99" w14:textId="77777777">
      <w:pPr>
        <w:jc w:val="both"/>
        <w:rPr>
          <w:sz w:val="24"/>
          <w:szCs w:val="24"/>
        </w:rPr>
      </w:pPr>
    </w:p>
    <w:p w:rsidR="009436A1" w:rsidRPr="009436A1" w:rsidP="009436A1" w14:paraId="4325A30A" w14:textId="77777777">
      <w:pPr>
        <w:ind w:left="5040" w:firstLine="720"/>
        <w:jc w:val="both"/>
        <w:rPr>
          <w:sz w:val="24"/>
          <w:szCs w:val="24"/>
        </w:rPr>
      </w:pPr>
    </w:p>
    <w:p w:rsidR="009436A1" w:rsidRPr="009436A1" w:rsidP="009436A1" w14:paraId="15EC8529" w14:textId="77777777">
      <w:pPr>
        <w:ind w:left="5040" w:firstLine="720"/>
        <w:jc w:val="both"/>
        <w:rPr>
          <w:sz w:val="24"/>
          <w:szCs w:val="24"/>
        </w:rPr>
      </w:pPr>
    </w:p>
    <w:p w:rsidR="009436A1" w:rsidRPr="009436A1" w:rsidP="009436A1" w14:paraId="2DBD3729" w14:textId="77777777">
      <w:pPr>
        <w:ind w:left="5040" w:firstLine="720"/>
        <w:jc w:val="both"/>
        <w:rPr>
          <w:sz w:val="24"/>
          <w:szCs w:val="24"/>
        </w:rPr>
      </w:pPr>
      <w:r w:rsidRPr="009436A1">
        <w:rPr>
          <w:sz w:val="24"/>
          <w:szCs w:val="24"/>
        </w:rPr>
        <w:t>___________________________</w:t>
      </w:r>
    </w:p>
    <w:p w:rsidR="009436A1" w:rsidRPr="009436A1" w:rsidP="009436A1" w14:paraId="4EF9DB63" w14:textId="77777777">
      <w:pPr>
        <w:rPr>
          <w:sz w:val="24"/>
          <w:szCs w:val="24"/>
        </w:rPr>
      </w:pPr>
      <w:r w:rsidRPr="009436A1">
        <w:rPr>
          <w:sz w:val="24"/>
          <w:szCs w:val="24"/>
        </w:rPr>
        <w:tab/>
      </w:r>
      <w:r w:rsidRPr="009436A1">
        <w:rPr>
          <w:sz w:val="24"/>
          <w:szCs w:val="24"/>
        </w:rPr>
        <w:tab/>
      </w:r>
      <w:r w:rsidRPr="009436A1">
        <w:rPr>
          <w:sz w:val="24"/>
          <w:szCs w:val="24"/>
        </w:rPr>
        <w:tab/>
      </w:r>
      <w:r w:rsidRPr="009436A1">
        <w:rPr>
          <w:sz w:val="24"/>
          <w:szCs w:val="24"/>
        </w:rPr>
        <w:tab/>
      </w:r>
      <w:r w:rsidRPr="009436A1">
        <w:rPr>
          <w:sz w:val="24"/>
          <w:szCs w:val="24"/>
        </w:rPr>
        <w:tab/>
      </w:r>
      <w:r w:rsidRPr="009436A1">
        <w:rPr>
          <w:sz w:val="24"/>
          <w:szCs w:val="24"/>
        </w:rPr>
        <w:tab/>
      </w:r>
      <w:r w:rsidRPr="009436A1">
        <w:rPr>
          <w:sz w:val="24"/>
          <w:szCs w:val="24"/>
        </w:rPr>
        <w:tab/>
      </w:r>
      <w:r w:rsidRPr="009436A1">
        <w:rPr>
          <w:sz w:val="24"/>
          <w:szCs w:val="24"/>
        </w:rPr>
        <w:tab/>
        <w:t>Diana H. Jeffrey, Secretary</w:t>
      </w:r>
    </w:p>
    <w:p w:rsidR="009436A1" w:rsidRPr="009436A1" w:rsidP="009436A1" w14:paraId="62624758" w14:textId="77777777">
      <w:pPr>
        <w:rPr>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tblPr>
      <w:tblGrid>
        <w:gridCol w:w="2707"/>
        <w:gridCol w:w="1020"/>
        <w:gridCol w:w="1020"/>
        <w:gridCol w:w="1576"/>
        <w:gridCol w:w="1391"/>
      </w:tblGrid>
      <w:tr w14:paraId="1A631A27" w14:textId="77777777" w:rsidTr="004E7C9F">
        <w:tblPrEx>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tblPrEx>
        <w:trPr>
          <w:trHeight w:val="348"/>
          <w:jc w:val="center"/>
        </w:trPr>
        <w:tc>
          <w:tcPr>
            <w:tcW w:w="7713" w:type="dxa"/>
            <w:gridSpan w:val="5"/>
            <w:tcBorders>
              <w:bottom w:val="double" w:sz="4" w:space="0" w:color="auto"/>
            </w:tcBorders>
            <w:vAlign w:val="center"/>
          </w:tcPr>
          <w:p w:rsidR="009436A1" w:rsidRPr="009436A1" w:rsidP="009436A1" w14:paraId="6F57E7C3" w14:textId="77777777">
            <w:pPr>
              <w:tabs>
                <w:tab w:val="left" w:pos="5325"/>
              </w:tabs>
              <w:jc w:val="center"/>
              <w:rPr>
                <w:b/>
                <w:u w:val="single"/>
              </w:rPr>
            </w:pPr>
            <w:r w:rsidRPr="009436A1">
              <w:rPr>
                <w:b/>
                <w:u w:val="single"/>
              </w:rPr>
              <w:t>RECORD OF COMMISSIONERS VOTE</w:t>
            </w:r>
          </w:p>
        </w:tc>
      </w:tr>
      <w:tr w14:paraId="0A7B15BB" w14:textId="77777777" w:rsidTr="004E7C9F">
        <w:tblPrEx>
          <w:tblW w:w="0" w:type="auto"/>
          <w:jc w:val="center"/>
          <w:tblLayout w:type="fixed"/>
          <w:tblLook w:val="04A0"/>
        </w:tblPrEx>
        <w:trPr>
          <w:trHeight w:val="372"/>
          <w:jc w:val="center"/>
        </w:trPr>
        <w:tc>
          <w:tcPr>
            <w:tcW w:w="2707" w:type="dxa"/>
            <w:tcBorders>
              <w:top w:val="double" w:sz="4" w:space="0" w:color="auto"/>
              <w:bottom w:val="single" w:sz="4" w:space="0" w:color="auto"/>
              <w:right w:val="single" w:sz="4" w:space="0" w:color="auto"/>
            </w:tcBorders>
            <w:vAlign w:val="center"/>
          </w:tcPr>
          <w:p w:rsidR="009436A1" w:rsidRPr="009436A1" w:rsidP="009436A1" w14:paraId="66EF1CD0" w14:textId="77777777">
            <w:pPr>
              <w:jc w:val="center"/>
              <w:rPr>
                <w:u w:val="single"/>
              </w:rPr>
            </w:pPr>
            <w:r w:rsidRPr="009436A1">
              <w:rPr>
                <w:u w:val="single"/>
              </w:rPr>
              <w:t>NAME</w:t>
            </w:r>
          </w:p>
        </w:tc>
        <w:tc>
          <w:tcPr>
            <w:tcW w:w="1020" w:type="dxa"/>
            <w:tcBorders>
              <w:top w:val="double" w:sz="4" w:space="0" w:color="auto"/>
              <w:left w:val="single" w:sz="4" w:space="0" w:color="auto"/>
              <w:bottom w:val="single" w:sz="4" w:space="0" w:color="auto"/>
              <w:right w:val="single" w:sz="4" w:space="0" w:color="auto"/>
            </w:tcBorders>
            <w:vAlign w:val="center"/>
          </w:tcPr>
          <w:p w:rsidR="009436A1" w:rsidRPr="009436A1" w:rsidP="009436A1" w14:paraId="7E313ECF" w14:textId="77777777">
            <w:pPr>
              <w:jc w:val="center"/>
              <w:rPr>
                <w:u w:val="single"/>
              </w:rPr>
            </w:pPr>
            <w:r w:rsidRPr="009436A1">
              <w:rPr>
                <w:u w:val="single"/>
              </w:rPr>
              <w:t>AYE</w:t>
            </w:r>
          </w:p>
        </w:tc>
        <w:tc>
          <w:tcPr>
            <w:tcW w:w="1020" w:type="dxa"/>
            <w:tcBorders>
              <w:top w:val="double" w:sz="4" w:space="0" w:color="auto"/>
              <w:left w:val="single" w:sz="4" w:space="0" w:color="auto"/>
              <w:bottom w:val="single" w:sz="4" w:space="0" w:color="auto"/>
              <w:right w:val="single" w:sz="4" w:space="0" w:color="auto"/>
            </w:tcBorders>
            <w:vAlign w:val="center"/>
          </w:tcPr>
          <w:p w:rsidR="009436A1" w:rsidRPr="009436A1" w:rsidP="009436A1" w14:paraId="424396F1" w14:textId="77777777">
            <w:pPr>
              <w:jc w:val="center"/>
              <w:rPr>
                <w:u w:val="single"/>
              </w:rPr>
            </w:pPr>
            <w:r w:rsidRPr="009436A1">
              <w:rPr>
                <w:u w:val="single"/>
              </w:rPr>
              <w:t>NAY</w:t>
            </w:r>
          </w:p>
        </w:tc>
        <w:tc>
          <w:tcPr>
            <w:tcW w:w="1576" w:type="dxa"/>
            <w:tcBorders>
              <w:top w:val="double" w:sz="4" w:space="0" w:color="auto"/>
              <w:left w:val="single" w:sz="4" w:space="0" w:color="auto"/>
              <w:bottom w:val="single" w:sz="4" w:space="0" w:color="auto"/>
              <w:right w:val="single" w:sz="4" w:space="0" w:color="auto"/>
            </w:tcBorders>
            <w:vAlign w:val="center"/>
          </w:tcPr>
          <w:p w:rsidR="009436A1" w:rsidRPr="009436A1" w:rsidP="009436A1" w14:paraId="36026C40" w14:textId="77777777">
            <w:pPr>
              <w:jc w:val="center"/>
              <w:rPr>
                <w:u w:val="single"/>
              </w:rPr>
            </w:pPr>
            <w:r w:rsidRPr="009436A1">
              <w:rPr>
                <w:u w:val="single"/>
              </w:rPr>
              <w:t>ABSTAIN</w:t>
            </w:r>
          </w:p>
        </w:tc>
        <w:tc>
          <w:tcPr>
            <w:tcW w:w="1391" w:type="dxa"/>
            <w:tcBorders>
              <w:top w:val="double" w:sz="4" w:space="0" w:color="auto"/>
              <w:left w:val="single" w:sz="4" w:space="0" w:color="auto"/>
              <w:bottom w:val="single" w:sz="4" w:space="0" w:color="auto"/>
            </w:tcBorders>
            <w:vAlign w:val="center"/>
          </w:tcPr>
          <w:p w:rsidR="009436A1" w:rsidRPr="009436A1" w:rsidP="009436A1" w14:paraId="15FF9EC8" w14:textId="77777777">
            <w:pPr>
              <w:jc w:val="center"/>
              <w:rPr>
                <w:u w:val="single"/>
              </w:rPr>
            </w:pPr>
            <w:r w:rsidRPr="009436A1">
              <w:rPr>
                <w:u w:val="single"/>
              </w:rPr>
              <w:t>ABSENT</w:t>
            </w:r>
          </w:p>
        </w:tc>
      </w:tr>
      <w:tr w14:paraId="48217521"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2EFD6DD1" w14:textId="77777777">
            <w:pPr>
              <w:pStyle w:val="Header"/>
            </w:pPr>
            <w:r w:rsidRPr="009436A1">
              <w:t>Donald R. Brown</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4B6ABE52"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59142FFF"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76822C2A"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7AE541FD" w14:textId="77777777">
            <w:pPr>
              <w:jc w:val="center"/>
            </w:pPr>
          </w:p>
        </w:tc>
      </w:tr>
      <w:tr w14:paraId="27E3F5C7"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46975452" w14:textId="77777777">
            <w:r w:rsidRPr="009436A1">
              <w:t>Douglas Carlucci</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368AA5C1"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0005C066"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77B2B004"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1D1774AE" w14:textId="77777777">
            <w:pPr>
              <w:jc w:val="center"/>
            </w:pPr>
          </w:p>
        </w:tc>
      </w:tr>
      <w:tr w14:paraId="187F5A80"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6F58A077" w14:textId="77777777">
            <w:r w:rsidRPr="009436A1">
              <w:t>Erma D. Greene</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3610F8E1"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4428AF1F"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67D31ADE"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28BA91FD" w14:textId="77777777">
            <w:pPr>
              <w:jc w:val="center"/>
            </w:pPr>
          </w:p>
        </w:tc>
      </w:tr>
      <w:tr w14:paraId="6493DCDC"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68BF8DD4" w14:textId="77777777">
            <w:r w:rsidRPr="009436A1">
              <w:t>Victor Negron, Jr.</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17B0FA1A"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7B776320"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2E22BEDC"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0600B7B2" w14:textId="77777777">
            <w:pPr>
              <w:jc w:val="center"/>
            </w:pPr>
          </w:p>
        </w:tc>
      </w:tr>
      <w:tr w14:paraId="38E7B20E"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178CE2C7" w14:textId="77777777">
            <w:r w:rsidRPr="009436A1">
              <w:t>Darwin R. Ona</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12E4B3A1"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6ACBD7F7"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29290C94"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26D44855" w14:textId="77777777">
            <w:pPr>
              <w:jc w:val="center"/>
            </w:pPr>
          </w:p>
        </w:tc>
      </w:tr>
      <w:tr w14:paraId="7A4F4E1C" w14:textId="77777777" w:rsidTr="004E7C9F">
        <w:tblPrEx>
          <w:tblW w:w="0" w:type="auto"/>
          <w:jc w:val="center"/>
          <w:tblLayout w:type="fixed"/>
          <w:tblLook w:val="04A0"/>
        </w:tblPrEx>
        <w:trPr>
          <w:trHeight w:val="372"/>
          <w:jc w:val="center"/>
        </w:trPr>
        <w:tc>
          <w:tcPr>
            <w:tcW w:w="2707" w:type="dxa"/>
            <w:tcBorders>
              <w:top w:val="single" w:sz="4" w:space="0" w:color="auto"/>
              <w:bottom w:val="single" w:sz="4" w:space="0" w:color="auto"/>
              <w:right w:val="single" w:sz="4" w:space="0" w:color="auto"/>
            </w:tcBorders>
            <w:vAlign w:val="center"/>
          </w:tcPr>
          <w:p w:rsidR="009436A1" w:rsidRPr="009436A1" w:rsidP="009436A1" w14:paraId="2BA6A060" w14:textId="77777777">
            <w:r w:rsidRPr="009436A1">
              <w:t>Denise Ridley</w:t>
            </w: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32633BD2" w14:textId="77777777">
            <w:pPr>
              <w:jc w:val="center"/>
            </w:pPr>
          </w:p>
        </w:tc>
        <w:tc>
          <w:tcPr>
            <w:tcW w:w="1020"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23FAC2EE" w14:textId="77777777">
            <w:pPr>
              <w:jc w:val="center"/>
            </w:pPr>
          </w:p>
        </w:tc>
        <w:tc>
          <w:tcPr>
            <w:tcW w:w="1576" w:type="dxa"/>
            <w:tcBorders>
              <w:top w:val="single" w:sz="4" w:space="0" w:color="auto"/>
              <w:left w:val="single" w:sz="4" w:space="0" w:color="auto"/>
              <w:bottom w:val="single" w:sz="4" w:space="0" w:color="auto"/>
              <w:right w:val="single" w:sz="4" w:space="0" w:color="auto"/>
            </w:tcBorders>
            <w:vAlign w:val="center"/>
          </w:tcPr>
          <w:p w:rsidR="009436A1" w:rsidRPr="009436A1" w:rsidP="009436A1" w14:paraId="6614DD8E" w14:textId="77777777">
            <w:pPr>
              <w:jc w:val="center"/>
            </w:pPr>
          </w:p>
        </w:tc>
        <w:tc>
          <w:tcPr>
            <w:tcW w:w="1391" w:type="dxa"/>
            <w:tcBorders>
              <w:top w:val="single" w:sz="4" w:space="0" w:color="auto"/>
              <w:left w:val="single" w:sz="4" w:space="0" w:color="auto"/>
              <w:bottom w:val="single" w:sz="4" w:space="0" w:color="auto"/>
            </w:tcBorders>
            <w:vAlign w:val="center"/>
          </w:tcPr>
          <w:p w:rsidR="009436A1" w:rsidRPr="009436A1" w:rsidP="009436A1" w14:paraId="49847A29" w14:textId="77777777">
            <w:pPr>
              <w:jc w:val="center"/>
            </w:pPr>
          </w:p>
        </w:tc>
      </w:tr>
      <w:tr w14:paraId="03A13C93" w14:textId="77777777" w:rsidTr="004E7C9F">
        <w:tblPrEx>
          <w:tblW w:w="0" w:type="auto"/>
          <w:jc w:val="center"/>
          <w:tblLayout w:type="fixed"/>
          <w:tblLook w:val="04A0"/>
        </w:tblPrEx>
        <w:trPr>
          <w:trHeight w:val="368"/>
          <w:jc w:val="center"/>
        </w:trPr>
        <w:tc>
          <w:tcPr>
            <w:tcW w:w="2707" w:type="dxa"/>
            <w:tcBorders>
              <w:top w:val="single" w:sz="4" w:space="0" w:color="auto"/>
              <w:bottom w:val="double" w:sz="4" w:space="0" w:color="auto"/>
              <w:right w:val="single" w:sz="4" w:space="0" w:color="auto"/>
            </w:tcBorders>
            <w:vAlign w:val="center"/>
          </w:tcPr>
          <w:p w:rsidR="009436A1" w:rsidRPr="009436A1" w:rsidP="009436A1" w14:paraId="4F74727F" w14:textId="77777777">
            <w:r w:rsidRPr="009436A1">
              <w:t>Daniel Rivera</w:t>
            </w:r>
          </w:p>
        </w:tc>
        <w:tc>
          <w:tcPr>
            <w:tcW w:w="1020" w:type="dxa"/>
            <w:tcBorders>
              <w:top w:val="single" w:sz="4" w:space="0" w:color="auto"/>
              <w:left w:val="single" w:sz="4" w:space="0" w:color="auto"/>
              <w:bottom w:val="double" w:sz="4" w:space="0" w:color="auto"/>
              <w:right w:val="single" w:sz="4" w:space="0" w:color="auto"/>
            </w:tcBorders>
            <w:vAlign w:val="center"/>
          </w:tcPr>
          <w:p w:rsidR="009436A1" w:rsidRPr="009436A1" w:rsidP="009436A1" w14:paraId="41594263" w14:textId="77777777">
            <w:pPr>
              <w:jc w:val="center"/>
            </w:pPr>
          </w:p>
        </w:tc>
        <w:tc>
          <w:tcPr>
            <w:tcW w:w="1020" w:type="dxa"/>
            <w:tcBorders>
              <w:top w:val="single" w:sz="4" w:space="0" w:color="auto"/>
              <w:left w:val="single" w:sz="4" w:space="0" w:color="auto"/>
              <w:bottom w:val="double" w:sz="4" w:space="0" w:color="auto"/>
              <w:right w:val="single" w:sz="4" w:space="0" w:color="auto"/>
            </w:tcBorders>
            <w:vAlign w:val="center"/>
          </w:tcPr>
          <w:p w:rsidR="009436A1" w:rsidRPr="009436A1" w:rsidP="009436A1" w14:paraId="1854980C" w14:textId="77777777">
            <w:pPr>
              <w:jc w:val="center"/>
            </w:pPr>
          </w:p>
        </w:tc>
        <w:tc>
          <w:tcPr>
            <w:tcW w:w="1576" w:type="dxa"/>
            <w:tcBorders>
              <w:top w:val="single" w:sz="4" w:space="0" w:color="auto"/>
              <w:left w:val="single" w:sz="4" w:space="0" w:color="auto"/>
              <w:bottom w:val="double" w:sz="4" w:space="0" w:color="auto"/>
              <w:right w:val="single" w:sz="4" w:space="0" w:color="auto"/>
            </w:tcBorders>
            <w:vAlign w:val="center"/>
          </w:tcPr>
          <w:p w:rsidR="009436A1" w:rsidRPr="009436A1" w:rsidP="009436A1" w14:paraId="0059D42A" w14:textId="77777777">
            <w:pPr>
              <w:jc w:val="center"/>
            </w:pPr>
          </w:p>
        </w:tc>
        <w:tc>
          <w:tcPr>
            <w:tcW w:w="1391" w:type="dxa"/>
            <w:tcBorders>
              <w:top w:val="single" w:sz="4" w:space="0" w:color="auto"/>
              <w:left w:val="single" w:sz="4" w:space="0" w:color="auto"/>
              <w:bottom w:val="double" w:sz="4" w:space="0" w:color="auto"/>
            </w:tcBorders>
            <w:vAlign w:val="center"/>
          </w:tcPr>
          <w:p w:rsidR="009436A1" w:rsidRPr="009436A1" w:rsidP="009436A1" w14:paraId="112CED88" w14:textId="77777777">
            <w:pPr>
              <w:jc w:val="center"/>
            </w:pPr>
          </w:p>
        </w:tc>
      </w:tr>
    </w:tbl>
    <w:p w:rsidR="009436A1" w:rsidRPr="009436A1" w:rsidP="009436A1" w14:paraId="5B9D7DCB" w14:textId="77777777">
      <w:pPr>
        <w:pStyle w:val="BodyText"/>
        <w:spacing w:after="0"/>
      </w:pPr>
    </w:p>
    <w:p w:rsidR="009436A1" w:rsidRPr="009436A1" w:rsidP="009436A1" w14:paraId="43EFAF17" w14:textId="77777777">
      <w:pPr>
        <w:pStyle w:val="BodyText"/>
        <w:spacing w:after="0"/>
      </w:pPr>
    </w:p>
    <w:p w:rsidR="009436A1" w:rsidRPr="009436A1" w:rsidP="009436A1" w14:paraId="5D1CE94F" w14:textId="77777777">
      <w:pPr>
        <w:tabs>
          <w:tab w:val="left" w:pos="2232"/>
        </w:tabs>
        <w:spacing w:line="262" w:lineRule="exact"/>
        <w:ind w:left="144" w:firstLine="648"/>
        <w:jc w:val="both"/>
        <w:textAlignment w:val="baseline"/>
        <w:rPr>
          <w:rFonts w:eastAsia="Times New Roman"/>
          <w:color w:val="000000"/>
          <w:sz w:val="24"/>
          <w:szCs w:val="24"/>
        </w:rPr>
      </w:pPr>
    </w:p>
    <w:p w:rsidR="009436A1" w:rsidRPr="009436A1" w:rsidP="009436A1" w14:paraId="392F6161" w14:textId="77777777">
      <w:pPr>
        <w:pStyle w:val="BodyText"/>
        <w:spacing w:after="0"/>
      </w:pPr>
    </w:p>
    <w:p w:rsidR="003F4830" w:rsidRPr="009436A1" w:rsidP="009436A1" w14:paraId="74EE7B30" w14:textId="77777777">
      <w:pPr>
        <w:rPr>
          <w:sz w:val="24"/>
          <w:szCs w:val="24"/>
        </w:rPr>
      </w:pPr>
    </w:p>
    <w:sectPr w:rsidSect="009436A1">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540" w:gutter="0"/>
      <w:paperSrc w:first="14" w:other="14"/>
      <w:pgNumType w:start="1"/>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677" w14:paraId="472AEB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F4677" w14:paraId="549824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677" w14:paraId="2946905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873AA" w14:paraId="131B3E95" w14:textId="77777777">
    <w:pPr>
      <w:pStyle w:val="Footer"/>
    </w:pPr>
  </w:p>
  <w:p w:rsidR="004F4677" w:rsidP="00D873AA" w14:paraId="173C94BA" w14:textId="75253941">
    <w:pPr>
      <w:pStyle w:val="Footer"/>
      <w:rPr>
        <w:sz w:val="16"/>
      </w:rPr>
    </w:pPr>
    <w:r w:rsidR="007A407C">
      <w:rPr>
        <w:b/>
        <w:bCs/>
        <w:sz w:val="16"/>
      </w:rPr>
      <w:t>Error! No document variable supplied.</w:t>
    </w:r>
    <w:r w:rsidRPr="00D873AA">
      <w:rPr>
        <w:sz w:val="16"/>
      </w:rPr>
      <w:t>" = "1" "</w:t>
    </w:r>
    <w:r>
      <w:rPr>
        <w:sz w:val="16"/>
      </w:rPr>
      <w:t>6452867-3</w:t>
    </w:r>
    <w:r w:rsidRPr="00D873AA">
      <w:rPr>
        <w:sz w:val="16"/>
      </w:rPr>
      <w:t>" ""</w:t>
    </w:r>
    <w:r>
      <w:rPr>
        <w:sz w:val="16"/>
      </w:rPr>
      <w:t xml:space="preserve"> </w:t>
    </w:r>
  </w:p>
  <w:p w:rsidR="007C308D" w:rsidP="007C308D" w14:paraId="0A2258B3" w14:textId="4DF0064C">
    <w:pPr>
      <w:pStyle w:val="Footer"/>
      <w:spacing w:line="180" w:lineRule="exact"/>
    </w:pPr>
    <w:r w:rsidR="007A407C">
      <w:rPr>
        <w:rFonts w:ascii="Arial" w:hAnsi="Arial" w:cs="Arial"/>
        <w:sz w:val="16"/>
      </w:rPr>
      <w:t>4879-3726-8304, v.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3AA" w14:paraId="66051B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321" w14:paraId="5F2CB4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677" w:rsidRPr="009436A1" w:rsidP="009436A1" w14:paraId="6DE8C90D" w14:textId="4A16DA88">
    <w:pPr>
      <w:widowControl w:val="0"/>
      <w:jc w:val="right"/>
      <w:rPr>
        <w:sz w:val="24"/>
        <w:szCs w:val="24"/>
      </w:rPr>
    </w:pPr>
    <w:r w:rsidRPr="009436A1">
      <w:rPr>
        <w:sz w:val="24"/>
        <w:szCs w:val="24"/>
      </w:rPr>
      <w:t>Resolution No. 2</w:t>
    </w:r>
    <w:r w:rsidR="00200395">
      <w:rPr>
        <w:sz w:val="24"/>
        <w:szCs w:val="24"/>
      </w:rPr>
      <w:t>3</w:t>
    </w:r>
    <w:r w:rsidRPr="009436A1">
      <w:rPr>
        <w:sz w:val="24"/>
        <w:szCs w:val="24"/>
      </w:rPr>
      <w:t>-</w:t>
    </w:r>
    <w:r w:rsidR="00F7218A">
      <w:rPr>
        <w:sz w:val="24"/>
        <w:szCs w:val="24"/>
      </w:rPr>
      <w:t>0</w:t>
    </w:r>
    <w:r w:rsidR="00546321">
      <w:rPr>
        <w:sz w:val="24"/>
        <w:szCs w:val="24"/>
      </w:rPr>
      <w:t>3</w:t>
    </w:r>
    <w:r w:rsidRPr="009436A1">
      <w:rPr>
        <w:sz w:val="24"/>
        <w:szCs w:val="24"/>
      </w:rPr>
      <w:t>-__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889" w:rsidRPr="009436A1" w:rsidP="009436A1" w14:paraId="744D334B" w14:textId="60DF5D29">
    <w:pPr>
      <w:widowControl w:val="0"/>
      <w:jc w:val="right"/>
      <w:rPr>
        <w:sz w:val="24"/>
        <w:szCs w:val="24"/>
      </w:rPr>
    </w:pPr>
    <w:bookmarkStart w:id="3" w:name="_Hlk32060414"/>
    <w:r w:rsidRPr="009436A1">
      <w:rPr>
        <w:sz w:val="24"/>
        <w:szCs w:val="24"/>
      </w:rPr>
      <w:t>Resolution No. 2</w:t>
    </w:r>
    <w:r w:rsidR="00502073">
      <w:rPr>
        <w:sz w:val="24"/>
        <w:szCs w:val="24"/>
      </w:rPr>
      <w:t>3</w:t>
    </w:r>
    <w:r w:rsidRPr="009436A1">
      <w:rPr>
        <w:sz w:val="24"/>
        <w:szCs w:val="24"/>
      </w:rPr>
      <w:t>-</w:t>
    </w:r>
    <w:bookmarkEnd w:id="3"/>
    <w:r w:rsidR="005A377F">
      <w:rPr>
        <w:sz w:val="24"/>
        <w:szCs w:val="24"/>
      </w:rPr>
      <w:t>0</w:t>
    </w:r>
    <w:r w:rsidR="00546321">
      <w:rPr>
        <w:sz w:val="24"/>
        <w:szCs w:val="24"/>
      </w:rPr>
      <w:t>3</w:t>
    </w:r>
    <w:r w:rsidRPr="009436A1">
      <w:rPr>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A1"/>
    <w:rsid w:val="00141655"/>
    <w:rsid w:val="001B49D1"/>
    <w:rsid w:val="001E7602"/>
    <w:rsid w:val="00200395"/>
    <w:rsid w:val="002B01DB"/>
    <w:rsid w:val="002C0F39"/>
    <w:rsid w:val="002E75A0"/>
    <w:rsid w:val="00307955"/>
    <w:rsid w:val="00331AE8"/>
    <w:rsid w:val="00374DFE"/>
    <w:rsid w:val="003D2FC5"/>
    <w:rsid w:val="003F4830"/>
    <w:rsid w:val="003F62B1"/>
    <w:rsid w:val="0040350F"/>
    <w:rsid w:val="00455F74"/>
    <w:rsid w:val="004A0F4F"/>
    <w:rsid w:val="004B4907"/>
    <w:rsid w:val="004F4677"/>
    <w:rsid w:val="00502073"/>
    <w:rsid w:val="00546321"/>
    <w:rsid w:val="005A377F"/>
    <w:rsid w:val="005F0387"/>
    <w:rsid w:val="006145F4"/>
    <w:rsid w:val="006E38E3"/>
    <w:rsid w:val="007A407C"/>
    <w:rsid w:val="007B559B"/>
    <w:rsid w:val="007C308D"/>
    <w:rsid w:val="009436A1"/>
    <w:rsid w:val="00970052"/>
    <w:rsid w:val="00980312"/>
    <w:rsid w:val="009B69D3"/>
    <w:rsid w:val="00A47A5B"/>
    <w:rsid w:val="00A523AC"/>
    <w:rsid w:val="00AF3906"/>
    <w:rsid w:val="00AF65AF"/>
    <w:rsid w:val="00B33D11"/>
    <w:rsid w:val="00B74EE5"/>
    <w:rsid w:val="00B92DFA"/>
    <w:rsid w:val="00BB4A25"/>
    <w:rsid w:val="00BD28C1"/>
    <w:rsid w:val="00BF0B7D"/>
    <w:rsid w:val="00BF4B06"/>
    <w:rsid w:val="00C16ECD"/>
    <w:rsid w:val="00CA048D"/>
    <w:rsid w:val="00D30F9A"/>
    <w:rsid w:val="00D662F8"/>
    <w:rsid w:val="00D77ED9"/>
    <w:rsid w:val="00D8377D"/>
    <w:rsid w:val="00D873AA"/>
    <w:rsid w:val="00E46889"/>
    <w:rsid w:val="00E62AA1"/>
    <w:rsid w:val="00E63EA2"/>
    <w:rsid w:val="00EB432F"/>
    <w:rsid w:val="00F432DA"/>
    <w:rsid w:val="00F7218A"/>
    <w:rsid w:val="00F922FF"/>
    <w:rsid w:val="00FB4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A022518-0BB3-42D1-B58C-EBCB590B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36A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36A1"/>
    <w:pPr>
      <w:spacing w:after="240"/>
      <w:jc w:val="both"/>
    </w:pPr>
    <w:rPr>
      <w:rFonts w:eastAsia="Times New Roman"/>
      <w:sz w:val="24"/>
      <w:szCs w:val="24"/>
    </w:rPr>
  </w:style>
  <w:style w:type="character" w:customStyle="1" w:styleId="BodyTextChar">
    <w:name w:val="Body Text Char"/>
    <w:basedOn w:val="DefaultParagraphFont"/>
    <w:link w:val="BodyText"/>
    <w:rsid w:val="009436A1"/>
    <w:rPr>
      <w:rFonts w:ascii="Times New Roman" w:eastAsia="Times New Roman" w:hAnsi="Times New Roman" w:cs="Times New Roman"/>
      <w:sz w:val="24"/>
      <w:szCs w:val="24"/>
    </w:rPr>
  </w:style>
  <w:style w:type="paragraph" w:styleId="Footer">
    <w:name w:val="footer"/>
    <w:basedOn w:val="Normal"/>
    <w:link w:val="FooterChar"/>
    <w:uiPriority w:val="13"/>
    <w:unhideWhenUsed/>
    <w:rsid w:val="009436A1"/>
    <w:pPr>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13"/>
    <w:rsid w:val="009436A1"/>
    <w:rPr>
      <w:rFonts w:ascii="Times New Roman" w:eastAsia="Times New Roman" w:hAnsi="Times New Roman" w:cs="Times New Roman"/>
      <w:sz w:val="24"/>
      <w:szCs w:val="24"/>
    </w:rPr>
  </w:style>
  <w:style w:type="paragraph" w:styleId="Header">
    <w:name w:val="header"/>
    <w:basedOn w:val="Normal"/>
    <w:link w:val="HeaderChar"/>
    <w:uiPriority w:val="99"/>
    <w:rsid w:val="009436A1"/>
    <w:pPr>
      <w:tabs>
        <w:tab w:val="center" w:pos="4320"/>
        <w:tab w:val="right" w:pos="8640"/>
      </w:tabs>
    </w:pPr>
    <w:rPr>
      <w:rFonts w:eastAsia="Times New Roman"/>
      <w:sz w:val="24"/>
      <w:szCs w:val="24"/>
    </w:rPr>
  </w:style>
  <w:style w:type="character" w:customStyle="1" w:styleId="HeaderChar">
    <w:name w:val="Header Char"/>
    <w:basedOn w:val="DefaultParagraphFont"/>
    <w:link w:val="Header"/>
    <w:uiPriority w:val="99"/>
    <w:rsid w:val="009436A1"/>
    <w:rPr>
      <w:rFonts w:ascii="Times New Roman" w:eastAsia="Times New Roman" w:hAnsi="Times New Roman" w:cs="Times New Roman"/>
      <w:sz w:val="24"/>
      <w:szCs w:val="24"/>
    </w:rPr>
  </w:style>
  <w:style w:type="character" w:styleId="PageNumber">
    <w:name w:val="page number"/>
    <w:basedOn w:val="DefaultParagraphFont"/>
    <w:semiHidden/>
    <w:rsid w:val="009436A1"/>
  </w:style>
  <w:style w:type="table" w:styleId="TableGrid">
    <w:name w:val="Table Grid"/>
    <w:basedOn w:val="TableNormal"/>
    <w:uiPriority w:val="59"/>
    <w:rsid w:val="009436A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7490</Characters>
  <Application>Microsoft Office Word</Application>
  <DocSecurity>0</DocSecurity>
  <Lines>63</Lines>
  <Paragraphs>38</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